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31E" w:rsidRDefault="0012031E" w:rsidP="00E0751D">
      <w:pPr>
        <w:spacing w:after="0" w:line="240" w:lineRule="auto"/>
      </w:pPr>
    </w:p>
    <w:p w:rsidR="0012031E" w:rsidRDefault="0012031E" w:rsidP="00E0751D">
      <w:pPr>
        <w:spacing w:after="0" w:line="240" w:lineRule="auto"/>
      </w:pPr>
    </w:p>
    <w:p w:rsidR="00E0751D" w:rsidRPr="0012031E" w:rsidRDefault="00E0751D" w:rsidP="0012031E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</w:t>
      </w:r>
      <w:r w:rsidR="00FA2D10">
        <w:rPr>
          <w:rStyle w:val="Hipervnculo"/>
          <w:rFonts w:ascii="Calibri" w:eastAsia="Calibri" w:hAnsi="Calibri" w:cs="Calibri"/>
          <w:b/>
          <w:sz w:val="28"/>
          <w:szCs w:val="28"/>
        </w:rPr>
        <w:t>S</w:t>
      </w: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CIPLINA FINANCIERA</w:t>
      </w:r>
    </w:p>
    <w:p w:rsidR="00E0751D" w:rsidRDefault="00E0751D" w:rsidP="00E0751D">
      <w:pPr>
        <w:spacing w:after="0" w:line="240" w:lineRule="auto"/>
      </w:pPr>
    </w:p>
    <w:p w:rsidR="0012031E" w:rsidRDefault="0012031E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1. Balance Presupuestario de Recursos Disponibles Negativo</w:t>
      </w: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FA2D10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Acciones para recuperar el Balance Presupuestario de Recursos Disponibles Sostenible</w:t>
      </w:r>
      <w:r w:rsidR="0012031E">
        <w:t>.</w:t>
      </w:r>
    </w:p>
    <w:p w:rsidR="00FA2D10" w:rsidRDefault="00FA2D10" w:rsidP="00FA2D10">
      <w:pPr>
        <w:spacing w:after="0" w:line="240" w:lineRule="auto"/>
        <w:jc w:val="both"/>
      </w:pPr>
    </w:p>
    <w:p w:rsidR="00AF5CAD" w:rsidRP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2. Aumento o creación de nuevo Gasto</w:t>
      </w: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12031E">
      <w:pPr>
        <w:spacing w:after="0" w:line="240" w:lineRule="auto"/>
        <w:jc w:val="both"/>
      </w:pPr>
      <w:r>
        <w:t>a) Fuente de Ingresos del aumento o creación del Gasto no Etiquetado</w:t>
      </w:r>
      <w:r w:rsidR="0012031E">
        <w:t>.</w:t>
      </w:r>
    </w:p>
    <w:p w:rsidR="00E0751D" w:rsidRDefault="00E0751D" w:rsidP="0012031E">
      <w:pPr>
        <w:spacing w:after="0" w:line="240" w:lineRule="auto"/>
        <w:jc w:val="both"/>
      </w:pPr>
      <w:r>
        <w:t>b) Fuente de Ingresos del aumento o creación del Gasto Etiquetado</w:t>
      </w:r>
      <w:r w:rsidR="0012031E">
        <w:t>.</w:t>
      </w:r>
    </w:p>
    <w:p w:rsidR="00E0751D" w:rsidRDefault="00E0751D" w:rsidP="00E0751D">
      <w:pPr>
        <w:spacing w:after="0" w:line="240" w:lineRule="auto"/>
      </w:pPr>
    </w:p>
    <w:p w:rsidR="00B02181" w:rsidRDefault="00B02181" w:rsidP="00B02181">
      <w:pPr>
        <w:spacing w:after="0" w:line="240" w:lineRule="auto"/>
      </w:pPr>
      <w:r>
        <w:t>Ampliaciones al presupuesto:</w:t>
      </w:r>
    </w:p>
    <w:p w:rsidR="00B02181" w:rsidRDefault="00B02181" w:rsidP="00B02181">
      <w:pPr>
        <w:spacing w:after="0" w:line="240" w:lineRule="auto"/>
      </w:pPr>
    </w:p>
    <w:p w:rsidR="00D0015A" w:rsidRDefault="00B02181" w:rsidP="00B02181">
      <w:pPr>
        <w:spacing w:after="0" w:line="240" w:lineRule="auto"/>
      </w:pPr>
      <w:r>
        <w:t>Se amplió el presupuesto autorizado de acuerdo a la determinación de remanentes 2017:</w:t>
      </w:r>
    </w:p>
    <w:p w:rsidR="00D0015A" w:rsidRDefault="00D0015A" w:rsidP="00D0015A">
      <w:pPr>
        <w:spacing w:after="0" w:line="240" w:lineRule="auto"/>
        <w:jc w:val="both"/>
      </w:pPr>
    </w:p>
    <w:p w:rsidR="00B02181" w:rsidRDefault="00B02181" w:rsidP="00D0015A">
      <w:pPr>
        <w:spacing w:after="0" w:line="240" w:lineRule="auto"/>
        <w:jc w:val="both"/>
      </w:pPr>
      <w:r>
        <w:t>Remanentes etiquetados no considerados en presupuesto autorizado por $ 176,350,931.12 de diversas fuentes de financiamiento PRODEP, PFCE, PDR, Reformas Estructurales, Subsidios Extraordinarios)</w:t>
      </w:r>
    </w:p>
    <w:p w:rsidR="00D0015A" w:rsidRDefault="00D0015A" w:rsidP="00D0015A">
      <w:pPr>
        <w:spacing w:after="0" w:line="240" w:lineRule="auto"/>
        <w:jc w:val="both"/>
      </w:pPr>
    </w:p>
    <w:p w:rsidR="00B02181" w:rsidRDefault="00B02181" w:rsidP="00D0015A">
      <w:pPr>
        <w:spacing w:after="0" w:line="240" w:lineRule="auto"/>
        <w:jc w:val="both"/>
      </w:pPr>
      <w:r>
        <w:t>Remanentes no etiquetados no considerados en presupuesto autorizado por $ 84, 166,192.81 de fuente de financiamiento recursos propios y estatales, este último corresponde al convenio Estatal de Mantenimiento.</w:t>
      </w:r>
    </w:p>
    <w:p w:rsidR="00D0015A" w:rsidRDefault="00D0015A" w:rsidP="00D0015A">
      <w:pPr>
        <w:spacing w:after="0" w:line="240" w:lineRule="auto"/>
        <w:jc w:val="both"/>
      </w:pPr>
    </w:p>
    <w:p w:rsidR="00B02181" w:rsidRDefault="00B02181" w:rsidP="00D0015A">
      <w:pPr>
        <w:spacing w:after="0" w:line="240" w:lineRule="auto"/>
        <w:jc w:val="both"/>
      </w:pPr>
      <w:r>
        <w:t>Ampliación por el refrendo de recursos etiquetados del FAM por $ 77, 681,008.33. Se amplían recursos no etiquetados por ingreso del Convenio Estatal de Mantenimiento</w:t>
      </w:r>
      <w:proofErr w:type="gramStart"/>
      <w:r>
        <w:t>,  por</w:t>
      </w:r>
      <w:proofErr w:type="gramEnd"/>
      <w:r>
        <w:t xml:space="preserve"> $17,000,000.00</w:t>
      </w:r>
    </w:p>
    <w:p w:rsidR="00D0015A" w:rsidRDefault="00D0015A" w:rsidP="00D0015A">
      <w:pPr>
        <w:spacing w:after="0" w:line="240" w:lineRule="auto"/>
        <w:jc w:val="both"/>
      </w:pPr>
      <w:bookmarkStart w:id="0" w:name="_GoBack"/>
      <w:bookmarkEnd w:id="0"/>
    </w:p>
    <w:p w:rsidR="00B02181" w:rsidRDefault="00B02181" w:rsidP="00D0015A">
      <w:pPr>
        <w:spacing w:after="0" w:line="240" w:lineRule="auto"/>
        <w:jc w:val="both"/>
      </w:pPr>
      <w:r>
        <w:t>Adicionalmente se amplían recurso etiquetados por $</w:t>
      </w:r>
      <w:proofErr w:type="gramStart"/>
      <w:r>
        <w:t>977,764.09  y</w:t>
      </w:r>
      <w:proofErr w:type="gramEnd"/>
      <w:r>
        <w:t xml:space="preserve"> no etiquetados por $ 8,000,000.00 derivados de ajustes de estimación de ingresos, registro de intereses y cancelación de pasivos</w:t>
      </w:r>
    </w:p>
    <w:p w:rsidR="00B02181" w:rsidRDefault="00B02181" w:rsidP="00E0751D">
      <w:pPr>
        <w:spacing w:after="0" w:line="240" w:lineRule="auto"/>
      </w:pPr>
    </w:p>
    <w:p w:rsidR="00B02181" w:rsidRDefault="00B02181" w:rsidP="00E0751D">
      <w:pPr>
        <w:spacing w:after="0" w:line="240" w:lineRule="auto"/>
      </w:pPr>
    </w:p>
    <w:p w:rsidR="00B02181" w:rsidRDefault="00B02181" w:rsidP="00E0751D">
      <w:pPr>
        <w:spacing w:after="0" w:line="240" w:lineRule="auto"/>
      </w:pPr>
    </w:p>
    <w:p w:rsidR="00E0751D" w:rsidRDefault="00E0751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:rsidR="00E0751D" w:rsidRDefault="00E0751D" w:rsidP="00E0751D">
      <w:pPr>
        <w:spacing w:after="0" w:line="240" w:lineRule="auto"/>
      </w:pPr>
      <w:r>
        <w:t>Se informará solo al 31 de diciembre</w:t>
      </w:r>
    </w:p>
    <w:p w:rsidR="00E0751D" w:rsidRDefault="00E0751D" w:rsidP="00E0751D">
      <w:pPr>
        <w:spacing w:after="0" w:line="240" w:lineRule="auto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970"/>
        <w:gridCol w:w="1700"/>
        <w:gridCol w:w="1417"/>
        <w:gridCol w:w="1603"/>
      </w:tblGrid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Ente Público</w:t>
            </w:r>
          </w:p>
        </w:tc>
      </w:tr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Informe de cuentas por pagar y que integran el pasivo circulante al cierre del ejercicio</w:t>
            </w:r>
          </w:p>
        </w:tc>
      </w:tr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Ejercicio 20XN</w:t>
            </w:r>
          </w:p>
        </w:tc>
      </w:tr>
      <w:tr w:rsidR="00E0751D" w:rsidRPr="00E0751D" w:rsidTr="00E0751D">
        <w:trPr>
          <w:trHeight w:val="72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lastRenderedPageBreak/>
              <w:t>COG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Concepto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Devengado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(a)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Pagado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(b)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Cuentas por pagar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(c) = (a-b)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Gasto No Etiquetado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1000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Personales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2000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Materiales y Suministros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3000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Generales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48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4000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Transferencias, Asignaciones, Subsidios y Otras Ayudas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5000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Bienes Muebles, Inmuebles e Intangibles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6000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Inversión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7000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Inversiones Financieras y Otras Provisiones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8000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 xml:space="preserve">Participaciones y Aportaciones 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9000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Deuda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Gasto Etiquetado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1000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Personales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2000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Materiales y Suministros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3000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Generales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48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4000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Transferencias, Asignaciones, Subsidios y Otras Ayudas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5000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Bienes Muebles, Inmuebles e Intangibles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6000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Inversión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7000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Inversiones Financieras y Otras Provisiones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8000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 xml:space="preserve">Participaciones y Aportaciones 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9000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Deuda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</w:tbl>
    <w:p w:rsidR="00E0751D" w:rsidRDefault="00E0751D" w:rsidP="00E0751D">
      <w:pPr>
        <w:spacing w:after="0" w:line="240" w:lineRule="auto"/>
      </w:pPr>
    </w:p>
    <w:p w:rsidR="00AF5CAD" w:rsidRDefault="00AF5CAD" w:rsidP="00AF5CAD">
      <w:pPr>
        <w:spacing w:after="0" w:line="240" w:lineRule="auto"/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</w:t>
      </w:r>
      <w:r>
        <w:rPr>
          <w:i/>
        </w:rPr>
        <w:t>13 VII</w:t>
      </w:r>
      <w:r w:rsidRPr="00AF5CAD">
        <w:rPr>
          <w:i/>
        </w:rPr>
        <w:t xml:space="preserve"> y </w:t>
      </w:r>
      <w:r>
        <w:rPr>
          <w:i/>
        </w:rPr>
        <w:t>2</w:t>
      </w:r>
      <w:r w:rsidRPr="00AF5CAD">
        <w:rPr>
          <w:i/>
        </w:rPr>
        <w:t>1</w:t>
      </w:r>
      <w:r>
        <w:rPr>
          <w:i/>
        </w:rPr>
        <w:t xml:space="preserve"> LDF</w:t>
      </w:r>
    </w:p>
    <w:p w:rsidR="00E0751D" w:rsidRDefault="00AF5CAD" w:rsidP="00E0751D">
      <w:pPr>
        <w:spacing w:after="0" w:line="240" w:lineRule="auto"/>
      </w:pPr>
      <w:r>
        <w:rPr>
          <w:noProof/>
          <w:lang w:eastAsia="es-MX"/>
        </w:rPr>
        <w:drawing>
          <wp:inline distT="0" distB="0" distL="0" distR="0" wp14:anchorId="089396BA" wp14:editId="210A098E">
            <wp:extent cx="3857625" cy="224036"/>
            <wp:effectExtent l="0" t="0" r="0" b="508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31867" cy="23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1D" w:rsidRDefault="00AF5CAD" w:rsidP="00E0751D">
      <w:pPr>
        <w:spacing w:after="0" w:line="240" w:lineRule="auto"/>
      </w:pPr>
      <w:r>
        <w:rPr>
          <w:noProof/>
          <w:lang w:eastAsia="es-MX"/>
        </w:rPr>
        <w:drawing>
          <wp:inline distT="0" distB="0" distL="0" distR="0" wp14:anchorId="2BC59C8F" wp14:editId="5713EC98">
            <wp:extent cx="3848100" cy="496529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17414" cy="505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  <w:r>
        <w:rPr>
          <w:noProof/>
          <w:lang w:eastAsia="es-MX"/>
        </w:rPr>
        <w:drawing>
          <wp:inline distT="0" distB="0" distL="0" distR="0" wp14:anchorId="4AE6BB14" wp14:editId="10A3D931">
            <wp:extent cx="3819525" cy="962582"/>
            <wp:effectExtent l="0" t="0" r="0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50739" cy="970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cada Financiamiento u Obligación contraída en los términos del Título Tercero Capítulo Uno de la Ley de Disciplina Financiera de las Entidades Federativas y Municipios, incluyendo como mínimo, el importe, tasa, plazo, comisiones y demás accesorios pactados.</w:t>
      </w:r>
    </w:p>
    <w:p w:rsidR="00E0751D" w:rsidRDefault="00E0751D" w:rsidP="00E0751D">
      <w:pPr>
        <w:spacing w:after="0" w:line="240" w:lineRule="auto"/>
        <w:jc w:val="both"/>
      </w:pPr>
    </w:p>
    <w:p w:rsidR="00AF5CAD" w:rsidRDefault="00AF5CAD" w:rsidP="00E0751D">
      <w:pPr>
        <w:spacing w:after="0" w:line="240" w:lineRule="auto"/>
        <w:jc w:val="both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</w:t>
      </w:r>
      <w:r>
        <w:rPr>
          <w:i/>
        </w:rPr>
        <w:t>25 LDF</w:t>
      </w:r>
    </w:p>
    <w:p w:rsidR="00AF5CAD" w:rsidRDefault="00AF5CAD" w:rsidP="00E0751D">
      <w:pPr>
        <w:spacing w:after="0" w:line="240" w:lineRule="auto"/>
        <w:jc w:val="both"/>
      </w:pPr>
      <w:r>
        <w:rPr>
          <w:noProof/>
          <w:lang w:eastAsia="es-MX"/>
        </w:rPr>
        <w:lastRenderedPageBreak/>
        <w:drawing>
          <wp:inline distT="0" distB="0" distL="0" distR="0" wp14:anchorId="52A40A8F" wp14:editId="7A35F64C">
            <wp:extent cx="3771900" cy="887910"/>
            <wp:effectExtent l="0" t="0" r="0" b="762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97062" cy="893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  <w:jc w:val="both"/>
      </w:pPr>
    </w:p>
    <w:p w:rsidR="00E0751D" w:rsidRDefault="00E0751D" w:rsidP="00E0751D">
      <w:pPr>
        <w:spacing w:after="0" w:line="240" w:lineRule="auto"/>
        <w:jc w:val="both"/>
      </w:pPr>
    </w:p>
    <w:p w:rsidR="00E0751D" w:rsidRPr="0012031E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t>5. Obligaciones a Corto Plazo</w:t>
      </w:r>
    </w:p>
    <w:p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las Obligaciones a corto plazo contraídas en los términos del Título Tercero Capítulo Uno de la Ley de Disciplina Financiera de las Entidades Federativas y Municipios, incluyendo por lo menos importe, tasas, plazo, comisiones y cualquier costo relacionado, así mismo se deberá incluir la tasa efectiva.</w:t>
      </w:r>
    </w:p>
    <w:p w:rsidR="0012031E" w:rsidRDefault="0012031E" w:rsidP="00E0751D">
      <w:pPr>
        <w:spacing w:after="0" w:line="240" w:lineRule="auto"/>
        <w:jc w:val="both"/>
      </w:pPr>
    </w:p>
    <w:p w:rsidR="0012031E" w:rsidRDefault="00AF5CAD" w:rsidP="00E0751D">
      <w:pPr>
        <w:spacing w:after="0" w:line="240" w:lineRule="auto"/>
        <w:jc w:val="both"/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</w:t>
      </w:r>
      <w:r>
        <w:rPr>
          <w:i/>
        </w:rPr>
        <w:t>31 LDF</w:t>
      </w:r>
    </w:p>
    <w:p w:rsidR="00AF5CAD" w:rsidRDefault="00AF5CAD" w:rsidP="00E0751D">
      <w:pPr>
        <w:spacing w:after="0" w:line="240" w:lineRule="auto"/>
        <w:jc w:val="both"/>
      </w:pPr>
      <w:r>
        <w:rPr>
          <w:noProof/>
          <w:lang w:eastAsia="es-MX"/>
        </w:rPr>
        <w:drawing>
          <wp:inline distT="0" distB="0" distL="0" distR="0" wp14:anchorId="0BB62AE4" wp14:editId="66982A91">
            <wp:extent cx="3829050" cy="953807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45422" cy="95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  <w:jc w:val="both"/>
      </w:pPr>
    </w:p>
    <w:p w:rsidR="00AF5CAD" w:rsidRDefault="00AF5CAD" w:rsidP="00E0751D">
      <w:pPr>
        <w:spacing w:after="0" w:line="240" w:lineRule="auto"/>
        <w:jc w:val="both"/>
      </w:pPr>
    </w:p>
    <w:p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:rsidR="0012031E" w:rsidRDefault="0012031E" w:rsidP="0012031E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12031E" w:rsidRDefault="0012031E" w:rsidP="0012031E">
      <w:pPr>
        <w:spacing w:after="0" w:line="240" w:lineRule="auto"/>
      </w:pPr>
      <w:r w:rsidRPr="0012031E">
        <w:t>a) La información relativa al cumplimiento de los convenios de Deuda Garantizada.</w:t>
      </w:r>
    </w:p>
    <w:p w:rsidR="00AF5CAD" w:rsidRDefault="00AF5CAD" w:rsidP="0012031E">
      <w:pPr>
        <w:spacing w:after="0" w:line="240" w:lineRule="auto"/>
      </w:pPr>
    </w:p>
    <w:p w:rsidR="00AF5CAD" w:rsidRDefault="00AF5CAD" w:rsidP="0012031E">
      <w:pPr>
        <w:spacing w:after="0" w:line="240" w:lineRule="auto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</w:t>
      </w:r>
      <w:r>
        <w:rPr>
          <w:i/>
        </w:rPr>
        <w:t>40 LDF</w:t>
      </w:r>
    </w:p>
    <w:p w:rsidR="00AF5CAD" w:rsidRDefault="00AF5CAD" w:rsidP="0012031E">
      <w:pPr>
        <w:spacing w:after="0" w:line="240" w:lineRule="auto"/>
        <w:rPr>
          <w:i/>
        </w:rPr>
      </w:pPr>
      <w:r>
        <w:rPr>
          <w:noProof/>
          <w:lang w:eastAsia="es-MX"/>
        </w:rPr>
        <w:drawing>
          <wp:inline distT="0" distB="0" distL="0" distR="0" wp14:anchorId="421A34CE" wp14:editId="0268A346">
            <wp:extent cx="3981195" cy="1609725"/>
            <wp:effectExtent l="0" t="0" r="63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93981" cy="161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Pr="00AF5CAD" w:rsidRDefault="00AF5CAD" w:rsidP="0012031E">
      <w:pPr>
        <w:spacing w:after="0" w:line="240" w:lineRule="auto"/>
        <w:rPr>
          <w:i/>
        </w:rPr>
      </w:pPr>
    </w:p>
    <w:sectPr w:rsidR="00AF5CAD" w:rsidRPr="00AF5CAD" w:rsidSect="00E0751D">
      <w:headerReference w:type="default" r:id="rId16"/>
      <w:footerReference w:type="default" r:id="rId17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2BC" w:rsidRDefault="00E102BC" w:rsidP="0012031E">
      <w:pPr>
        <w:spacing w:after="0" w:line="240" w:lineRule="auto"/>
      </w:pPr>
      <w:r>
        <w:separator/>
      </w:r>
    </w:p>
  </w:endnote>
  <w:endnote w:type="continuationSeparator" w:id="0">
    <w:p w:rsidR="00E102BC" w:rsidRDefault="00E102BC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3438540"/>
      <w:docPartObj>
        <w:docPartGallery w:val="Page Numbers (Bottom of Page)"/>
        <w:docPartUnique/>
      </w:docPartObj>
    </w:sdtPr>
    <w:sdtEndPr/>
    <w:sdtContent>
      <w:p w:rsidR="0012031E" w:rsidRDefault="0012031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15A" w:rsidRPr="00D0015A">
          <w:rPr>
            <w:noProof/>
            <w:lang w:val="es-ES"/>
          </w:rPr>
          <w:t>3</w:t>
        </w:r>
        <w:r>
          <w:fldChar w:fldCharType="end"/>
        </w:r>
      </w:p>
    </w:sdtContent>
  </w:sdt>
  <w:p w:rsidR="0012031E" w:rsidRDefault="0012031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2BC" w:rsidRDefault="00E102BC" w:rsidP="0012031E">
      <w:pPr>
        <w:spacing w:after="0" w:line="240" w:lineRule="auto"/>
      </w:pPr>
      <w:r>
        <w:separator/>
      </w:r>
    </w:p>
  </w:footnote>
  <w:footnote w:type="continuationSeparator" w:id="0">
    <w:p w:rsidR="00E102BC" w:rsidRDefault="00E102BC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31E" w:rsidRDefault="00FA2D10" w:rsidP="0012031E">
    <w:pPr>
      <w:pStyle w:val="Encabezado"/>
      <w:jc w:val="center"/>
    </w:pPr>
    <w:r>
      <w:t>UNIVERSIDAD DE GUANAJUATO</w:t>
    </w:r>
  </w:p>
  <w:p w:rsidR="0012031E" w:rsidRDefault="0012031E" w:rsidP="0012031E">
    <w:pPr>
      <w:pStyle w:val="Encabezado"/>
      <w:jc w:val="center"/>
    </w:pPr>
    <w:r w:rsidRPr="00A4610E">
      <w:t>CORRESPONDI</w:t>
    </w:r>
    <w:r w:rsidR="00FA2D10">
      <w:t>ENTES AL 1ER. TRIMESTRE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7409CB"/>
    <w:multiLevelType w:val="hybridMultilevel"/>
    <w:tmpl w:val="25044C4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1D"/>
    <w:rsid w:val="0012031E"/>
    <w:rsid w:val="004C23EA"/>
    <w:rsid w:val="00940570"/>
    <w:rsid w:val="00A827B2"/>
    <w:rsid w:val="00AF5CAD"/>
    <w:rsid w:val="00B02181"/>
    <w:rsid w:val="00D0015A"/>
    <w:rsid w:val="00E0751D"/>
    <w:rsid w:val="00E102BC"/>
    <w:rsid w:val="00FA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FC60F1-1071-4BF9-82F1-E4243B63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517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Corona Barrientos Alejandro</dc:creator>
  <cp:keywords/>
  <dc:description/>
  <cp:lastModifiedBy>Veronica</cp:lastModifiedBy>
  <cp:revision>3</cp:revision>
  <dcterms:created xsi:type="dcterms:W3CDTF">2018-03-20T04:02:00Z</dcterms:created>
  <dcterms:modified xsi:type="dcterms:W3CDTF">2018-04-26T17:22:00Z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