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5DD29D26" w:rsidR="007D1E76" w:rsidRPr="00E74967" w:rsidRDefault="00D75307" w:rsidP="00F067C8">
      <w:pPr>
        <w:tabs>
          <w:tab w:val="left" w:leader="underscore" w:pos="9639"/>
        </w:tabs>
        <w:spacing w:after="0" w:line="240" w:lineRule="auto"/>
        <w:jc w:val="center"/>
        <w:rPr>
          <w:rFonts w:cs="Calibri"/>
        </w:rPr>
      </w:pPr>
      <w:r>
        <w:rPr>
          <w:rFonts w:cs="Calibri"/>
        </w:rPr>
        <w:t>3</w:t>
      </w:r>
      <w:r w:rsidR="00FB256D">
        <w:rPr>
          <w:rFonts w:cs="Calibri"/>
        </w:rPr>
        <w:t>1</w:t>
      </w:r>
      <w:r>
        <w:rPr>
          <w:rFonts w:cs="Calibri"/>
        </w:rPr>
        <w:t>/</w:t>
      </w:r>
      <w:r w:rsidR="00270065">
        <w:rPr>
          <w:rFonts w:cs="Calibri"/>
        </w:rPr>
        <w:t>03</w:t>
      </w:r>
      <w:r>
        <w:rPr>
          <w:rFonts w:cs="Calibri"/>
        </w:rPr>
        <w:t>/202</w:t>
      </w:r>
      <w:r w:rsidR="0002073E">
        <w:rPr>
          <w:rFonts w:cs="Calibri"/>
        </w:rPr>
        <w:t>6</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4E730A3"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03ED7">
              <w:rPr>
                <w:noProof/>
                <w:webHidden/>
              </w:rPr>
              <w:t>2</w:t>
            </w:r>
            <w:r w:rsidR="005F51CC">
              <w:rPr>
                <w:noProof/>
                <w:webHidden/>
              </w:rPr>
              <w:fldChar w:fldCharType="end"/>
            </w:r>
          </w:hyperlink>
        </w:p>
        <w:p w14:paraId="6A6756CA" w14:textId="0436540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303ED7">
              <w:rPr>
                <w:noProof/>
                <w:webHidden/>
              </w:rPr>
              <w:t>5</w:t>
            </w:r>
            <w:r>
              <w:rPr>
                <w:noProof/>
                <w:webHidden/>
              </w:rPr>
              <w:fldChar w:fldCharType="end"/>
            </w:r>
          </w:hyperlink>
        </w:p>
        <w:p w14:paraId="19796F35" w14:textId="3589374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303ED7">
              <w:rPr>
                <w:noProof/>
                <w:webHidden/>
              </w:rPr>
              <w:t>5</w:t>
            </w:r>
            <w:r>
              <w:rPr>
                <w:noProof/>
                <w:webHidden/>
              </w:rPr>
              <w:fldChar w:fldCharType="end"/>
            </w:r>
          </w:hyperlink>
        </w:p>
        <w:p w14:paraId="62AC0657" w14:textId="69639B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303ED7">
              <w:rPr>
                <w:noProof/>
                <w:webHidden/>
              </w:rPr>
              <w:t>8</w:t>
            </w:r>
            <w:r>
              <w:rPr>
                <w:noProof/>
                <w:webHidden/>
              </w:rPr>
              <w:fldChar w:fldCharType="end"/>
            </w:r>
          </w:hyperlink>
        </w:p>
        <w:p w14:paraId="7C7C1962" w14:textId="3D27D8E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303ED7">
              <w:rPr>
                <w:noProof/>
                <w:webHidden/>
              </w:rPr>
              <w:t>10</w:t>
            </w:r>
            <w:r>
              <w:rPr>
                <w:noProof/>
                <w:webHidden/>
              </w:rPr>
              <w:fldChar w:fldCharType="end"/>
            </w:r>
          </w:hyperlink>
        </w:p>
        <w:p w14:paraId="3FE6C661" w14:textId="3A173B2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303ED7">
              <w:rPr>
                <w:noProof/>
                <w:webHidden/>
              </w:rPr>
              <w:t>18</w:t>
            </w:r>
            <w:r>
              <w:rPr>
                <w:noProof/>
                <w:webHidden/>
              </w:rPr>
              <w:fldChar w:fldCharType="end"/>
            </w:r>
          </w:hyperlink>
        </w:p>
        <w:p w14:paraId="135541CC" w14:textId="32AAB02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303ED7">
              <w:rPr>
                <w:noProof/>
                <w:webHidden/>
              </w:rPr>
              <w:t>19</w:t>
            </w:r>
            <w:r>
              <w:rPr>
                <w:noProof/>
                <w:webHidden/>
              </w:rPr>
              <w:fldChar w:fldCharType="end"/>
            </w:r>
          </w:hyperlink>
        </w:p>
        <w:p w14:paraId="48C9D852" w14:textId="1B37F5F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303ED7">
              <w:rPr>
                <w:noProof/>
                <w:webHidden/>
              </w:rPr>
              <w:t>21</w:t>
            </w:r>
            <w:r>
              <w:rPr>
                <w:noProof/>
                <w:webHidden/>
              </w:rPr>
              <w:fldChar w:fldCharType="end"/>
            </w:r>
          </w:hyperlink>
        </w:p>
        <w:p w14:paraId="027C97E3" w14:textId="59A5E45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303ED7">
              <w:rPr>
                <w:noProof/>
                <w:webHidden/>
              </w:rPr>
              <w:t>22</w:t>
            </w:r>
            <w:r>
              <w:rPr>
                <w:noProof/>
                <w:webHidden/>
              </w:rPr>
              <w:fldChar w:fldCharType="end"/>
            </w:r>
          </w:hyperlink>
        </w:p>
        <w:p w14:paraId="00DB87A1" w14:textId="795DC4B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303ED7">
              <w:rPr>
                <w:noProof/>
                <w:webHidden/>
              </w:rPr>
              <w:t>23</w:t>
            </w:r>
            <w:r>
              <w:rPr>
                <w:noProof/>
                <w:webHidden/>
              </w:rPr>
              <w:fldChar w:fldCharType="end"/>
            </w:r>
          </w:hyperlink>
        </w:p>
        <w:p w14:paraId="00EEECC2" w14:textId="1DA84E0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303ED7">
              <w:rPr>
                <w:noProof/>
                <w:webHidden/>
              </w:rPr>
              <w:t>23</w:t>
            </w:r>
            <w:r>
              <w:rPr>
                <w:noProof/>
                <w:webHidden/>
              </w:rPr>
              <w:fldChar w:fldCharType="end"/>
            </w:r>
          </w:hyperlink>
        </w:p>
        <w:p w14:paraId="68FD7A9A" w14:textId="4E5B188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303ED7">
              <w:rPr>
                <w:noProof/>
                <w:webHidden/>
              </w:rPr>
              <w:t>23</w:t>
            </w:r>
            <w:r>
              <w:rPr>
                <w:noProof/>
                <w:webHidden/>
              </w:rPr>
              <w:fldChar w:fldCharType="end"/>
            </w:r>
          </w:hyperlink>
        </w:p>
        <w:p w14:paraId="5F55527F" w14:textId="5EC0C4E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303ED7">
              <w:rPr>
                <w:noProof/>
                <w:webHidden/>
              </w:rPr>
              <w:t>23</w:t>
            </w:r>
            <w:r>
              <w:rPr>
                <w:noProof/>
                <w:webHidden/>
              </w:rPr>
              <w:fldChar w:fldCharType="end"/>
            </w:r>
          </w:hyperlink>
        </w:p>
        <w:p w14:paraId="674ABB69" w14:textId="25A466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303ED7">
              <w:rPr>
                <w:noProof/>
                <w:webHidden/>
              </w:rPr>
              <w:t>23</w:t>
            </w:r>
            <w:r>
              <w:rPr>
                <w:noProof/>
                <w:webHidden/>
              </w:rPr>
              <w:fldChar w:fldCharType="end"/>
            </w:r>
          </w:hyperlink>
        </w:p>
        <w:p w14:paraId="39048CDA" w14:textId="7800EF7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303ED7">
              <w:rPr>
                <w:noProof/>
                <w:webHidden/>
              </w:rPr>
              <w:t>25</w:t>
            </w:r>
            <w:r>
              <w:rPr>
                <w:noProof/>
                <w:webHidden/>
              </w:rPr>
              <w:fldChar w:fldCharType="end"/>
            </w:r>
          </w:hyperlink>
        </w:p>
        <w:p w14:paraId="7E9C5BA3" w14:textId="24B11EF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303ED7">
              <w:rPr>
                <w:noProof/>
                <w:webHidden/>
              </w:rPr>
              <w:t>25</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464E207" w14:textId="77777777" w:rsidR="001A65D3" w:rsidRPr="00E74967" w:rsidRDefault="001A65D3" w:rsidP="00CB41C4">
      <w:pPr>
        <w:tabs>
          <w:tab w:val="left" w:leader="underscore" w:pos="9639"/>
        </w:tabs>
        <w:spacing w:after="0" w:line="240" w:lineRule="auto"/>
        <w:jc w:val="both"/>
        <w:rPr>
          <w:rFonts w:cs="Calibri"/>
        </w:rPr>
      </w:pPr>
    </w:p>
    <w:p w14:paraId="7CFD7527" w14:textId="77777777" w:rsidR="00D75307" w:rsidRPr="00115509" w:rsidRDefault="00D75307" w:rsidP="00D7530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EFE4242" w14:textId="77777777" w:rsidR="00D75307" w:rsidRDefault="00D75307" w:rsidP="00D75307">
      <w:pPr>
        <w:jc w:val="both"/>
        <w:rPr>
          <w:rFonts w:ascii="Trebuchet MS" w:hAnsi="Trebuchet MS" w:cs="Arial"/>
          <w:sz w:val="20"/>
          <w:szCs w:val="20"/>
        </w:rPr>
      </w:pPr>
    </w:p>
    <w:p w14:paraId="720A60DF" w14:textId="0F843A4B" w:rsidR="00C95564" w:rsidRDefault="00C95564" w:rsidP="00C95564">
      <w:pPr>
        <w:jc w:val="both"/>
        <w:rPr>
          <w:rFonts w:ascii="Trebuchet MS" w:hAnsi="Trebuchet MS" w:cs="Arial"/>
          <w:sz w:val="20"/>
          <w:szCs w:val="20"/>
        </w:rPr>
      </w:pPr>
      <w:r w:rsidRPr="00BF5046">
        <w:rPr>
          <w:rFonts w:ascii="Trebuchet MS" w:hAnsi="Trebuchet MS" w:cs="Arial"/>
          <w:sz w:val="20"/>
          <w:szCs w:val="20"/>
        </w:rPr>
        <w:t>La Universidad de Guanajuato, con 29</w:t>
      </w:r>
      <w:r w:rsidR="00270065">
        <w:rPr>
          <w:rFonts w:ascii="Trebuchet MS" w:hAnsi="Trebuchet MS" w:cs="Arial"/>
          <w:sz w:val="20"/>
          <w:szCs w:val="20"/>
        </w:rPr>
        <w:t>4</w:t>
      </w:r>
      <w:r w:rsidRPr="00BF5046">
        <w:rPr>
          <w:rFonts w:ascii="Trebuchet MS" w:hAnsi="Trebuchet MS" w:cs="Arial"/>
          <w:sz w:val="20"/>
          <w:szCs w:val="20"/>
        </w:rPr>
        <w:t xml:space="preserve">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w:t>
      </w:r>
      <w:proofErr w:type="gramStart"/>
      <w:r w:rsidRPr="00BF5046">
        <w:rPr>
          <w:rFonts w:ascii="Trebuchet MS" w:hAnsi="Trebuchet MS" w:cs="Arial"/>
          <w:sz w:val="20"/>
          <w:szCs w:val="20"/>
        </w:rPr>
        <w:t>cual</w:t>
      </w:r>
      <w:proofErr w:type="gramEnd"/>
      <w:r w:rsidRPr="00BF5046">
        <w:rPr>
          <w:rFonts w:ascii="Trebuchet MS" w:hAnsi="Trebuchet MS" w:cs="Arial"/>
          <w:sz w:val="20"/>
          <w:szCs w:val="20"/>
        </w:rPr>
        <w:t xml:space="preserve"> en 1945</w:t>
      </w:r>
      <w:r>
        <w:rPr>
          <w:rFonts w:ascii="Trebuchet MS" w:hAnsi="Trebuchet MS" w:cs="Arial"/>
          <w:sz w:val="20"/>
          <w:szCs w:val="20"/>
        </w:rPr>
        <w:t>,</w:t>
      </w:r>
      <w:r w:rsidRPr="00BF5046">
        <w:rPr>
          <w:rFonts w:ascii="Trebuchet MS" w:hAnsi="Trebuchet MS" w:cs="Arial"/>
          <w:sz w:val="20"/>
          <w:szCs w:val="20"/>
        </w:rPr>
        <w:t xml:space="preserve"> se transforma en Universidad de Guanajuato</w:t>
      </w:r>
      <w:r>
        <w:rPr>
          <w:rFonts w:ascii="Trebuchet MS" w:hAnsi="Trebuchet MS" w:cs="Arial"/>
          <w:sz w:val="20"/>
          <w:szCs w:val="20"/>
        </w:rPr>
        <w:t>,</w:t>
      </w:r>
      <w:r w:rsidRPr="00F82E19">
        <w:t xml:space="preserve"> </w:t>
      </w:r>
      <w:r w:rsidRPr="00F82E19">
        <w:rPr>
          <w:rFonts w:ascii="Trebuchet MS" w:hAnsi="Trebuchet MS" w:cs="Arial"/>
          <w:sz w:val="20"/>
          <w:szCs w:val="20"/>
        </w:rPr>
        <w:t>instalándose el primer Consejo Universitario el 16 de mayo de ese año</w:t>
      </w:r>
      <w:r w:rsidRPr="00BF5046">
        <w:rPr>
          <w:rFonts w:ascii="Trebuchet MS" w:hAnsi="Trebuchet MS" w:cs="Arial"/>
          <w:sz w:val="20"/>
          <w:szCs w:val="20"/>
        </w:rPr>
        <w:t>.</w:t>
      </w:r>
    </w:p>
    <w:p w14:paraId="13333BDB" w14:textId="77777777" w:rsidR="00C95564" w:rsidRPr="00BF5046" w:rsidRDefault="00C95564" w:rsidP="00C95564">
      <w:pPr>
        <w:jc w:val="both"/>
        <w:rPr>
          <w:rFonts w:ascii="Trebuchet MS" w:hAnsi="Trebuchet MS" w:cs="Arial"/>
          <w:sz w:val="20"/>
          <w:szCs w:val="20"/>
        </w:rPr>
      </w:pPr>
      <w:r w:rsidRPr="00434F62">
        <w:rPr>
          <w:rFonts w:ascii="Trebuchet MS" w:hAnsi="Trebuchet MS" w:cs="Arial"/>
          <w:sz w:val="20"/>
          <w:szCs w:val="20"/>
        </w:rPr>
        <w:t>La Universidad de Guanajuato tuvo, en esta etapa, un importante crecimiento en la apertura de una nueva y diversificada oferta académica, consolidando importantes centros e institutos de investigación en todas las áreas del conocimiento, además de establecer políticas de gran alcance en la extensión y difusión cultural. Por otra parte, amplió su presencia a más ciudades del estado</w:t>
      </w:r>
      <w:r>
        <w:rPr>
          <w:rFonts w:ascii="Trebuchet MS" w:hAnsi="Trebuchet MS" w:cs="Arial"/>
          <w:sz w:val="20"/>
          <w:szCs w:val="20"/>
        </w:rPr>
        <w:t>.</w:t>
      </w:r>
    </w:p>
    <w:p w14:paraId="2F8C0951" w14:textId="77777777" w:rsidR="00C95564" w:rsidRPr="00BF5046"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E</w:t>
      </w:r>
      <w:r w:rsidRPr="00940B65">
        <w:rPr>
          <w:rFonts w:ascii="Trebuchet MS" w:hAnsi="Trebuchet MS" w:cs="Arial"/>
          <w:sz w:val="20"/>
          <w:szCs w:val="20"/>
        </w:rPr>
        <w:t>l </w:t>
      </w:r>
      <w:r w:rsidRPr="001E1A65">
        <w:rPr>
          <w:rFonts w:ascii="Trebuchet MS" w:hAnsi="Trebuchet MS" w:cs="Arial"/>
          <w:sz w:val="20"/>
          <w:szCs w:val="20"/>
        </w:rPr>
        <w:t>11 de mayo de 1994</w:t>
      </w:r>
      <w:r w:rsidRPr="00940B65">
        <w:rPr>
          <w:rFonts w:ascii="Trebuchet MS" w:hAnsi="Trebuchet MS" w:cs="Arial"/>
          <w:sz w:val="20"/>
          <w:szCs w:val="20"/>
        </w:rPr>
        <w:t> la LV Legislatura del Congreso del Estado aprobó la autonomía, con lo cual la Universidad de Guanajuato adquirió la capacidad jurídica y la facultad y responsabilidad de gobernarse a sí misma</w:t>
      </w:r>
      <w:r w:rsidRPr="00BF5046">
        <w:rPr>
          <w:rFonts w:ascii="Trebuchet MS" w:hAnsi="Trebuchet MS" w:cs="Arial"/>
          <w:sz w:val="20"/>
          <w:szCs w:val="20"/>
        </w:rPr>
        <w:t xml:space="preserve">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2A4E2A37" w14:textId="77777777" w:rsidR="00C95564" w:rsidRPr="00BF5046"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autonomía universitaria propició un crecimiento y desarrollo sin precedente para la universidad, consolidando su presencia en diversas regiones el estado y la oferta educativa desde el Nivel Medio Superior hasta el posgrado, con la consecuente expansión de sus servicios educativos de vinculación social y difusión de la cultura. </w:t>
      </w:r>
    </w:p>
    <w:p w14:paraId="13B645E4" w14:textId="77777777" w:rsidR="00C95564" w:rsidRPr="00BF5046"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w:t>
      </w:r>
      <w:r>
        <w:rPr>
          <w:rFonts w:ascii="Trebuchet MS" w:hAnsi="Trebuchet MS" w:cs="Arial"/>
          <w:sz w:val="20"/>
          <w:szCs w:val="20"/>
        </w:rPr>
        <w:t>reconoció</w:t>
      </w:r>
      <w:r w:rsidRPr="00BF5046">
        <w:rPr>
          <w:rFonts w:ascii="Trebuchet MS" w:hAnsi="Trebuchet MS" w:cs="Arial"/>
          <w:sz w:val="20"/>
          <w:szCs w:val="20"/>
        </w:rPr>
        <w:t xml:space="preserve"> la necesidad de conformar una estructura idónea para sustentar la evolución favorable de la vida académica y la operatividad institucional.</w:t>
      </w:r>
    </w:p>
    <w:p w14:paraId="52A4015C" w14:textId="77777777" w:rsidR="00C95564"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Así, la Universidad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w:t>
      </w:r>
      <w:r w:rsidRPr="00BF5046">
        <w:rPr>
          <w:rFonts w:ascii="Trebuchet MS" w:hAnsi="Trebuchet MS" w:cs="Arial"/>
          <w:sz w:val="20"/>
          <w:szCs w:val="20"/>
        </w:rPr>
        <w:lastRenderedPageBreak/>
        <w:t>2 de octubre de 20</w:t>
      </w:r>
      <w:r>
        <w:rPr>
          <w:rFonts w:ascii="Trebuchet MS" w:hAnsi="Trebuchet MS" w:cs="Arial"/>
          <w:sz w:val="20"/>
          <w:szCs w:val="20"/>
        </w:rPr>
        <w:t>1</w:t>
      </w:r>
      <w:r w:rsidRPr="00BF5046">
        <w:rPr>
          <w:rFonts w:ascii="Trebuchet MS" w:hAnsi="Trebuchet MS" w:cs="Arial"/>
          <w:sz w:val="20"/>
          <w:szCs w:val="20"/>
        </w:rPr>
        <w:t>8 y entró en vigor el 1 de enero de 20</w:t>
      </w:r>
      <w:r>
        <w:rPr>
          <w:rFonts w:ascii="Trebuchet MS" w:hAnsi="Trebuchet MS" w:cs="Arial"/>
          <w:sz w:val="20"/>
          <w:szCs w:val="20"/>
        </w:rPr>
        <w:t>1</w:t>
      </w:r>
      <w:r w:rsidRPr="00BF5046">
        <w:rPr>
          <w:rFonts w:ascii="Trebuchet MS" w:hAnsi="Trebuchet MS" w:cs="Arial"/>
          <w:sz w:val="20"/>
          <w:szCs w:val="20"/>
        </w:rPr>
        <w:t>9, con la finalidad de responder mejor a las necesidades actuales de la institución.</w:t>
      </w:r>
    </w:p>
    <w:p w14:paraId="78D515D6" w14:textId="77777777" w:rsidR="00C95564" w:rsidRPr="00493F2D" w:rsidRDefault="00C95564" w:rsidP="00C95564">
      <w:pPr>
        <w:shd w:val="clear" w:color="auto" w:fill="FFFFFF"/>
        <w:jc w:val="both"/>
        <w:textAlignment w:val="baseline"/>
        <w:rPr>
          <w:rFonts w:ascii="Trebuchet MS" w:hAnsi="Trebuchet MS" w:cs="Arial"/>
          <w:sz w:val="26"/>
          <w:szCs w:val="26"/>
        </w:rPr>
      </w:pPr>
      <w:r w:rsidRPr="00BF5046">
        <w:rPr>
          <w:rFonts w:ascii="Trebuchet MS" w:hAnsi="Trebuchet MS" w:cs="Arial"/>
          <w:sz w:val="20"/>
          <w:szCs w:val="20"/>
        </w:rPr>
        <w:t>La organización institucional multicampus, que entra en vigor en el año 2008, hoy permite que la Universidad de Guanajuato continúe su transformación ascendente, a través del compromiso resuelto y el trabajo denodado de una comunidad de casi 5</w:t>
      </w:r>
      <w:r>
        <w:rPr>
          <w:rFonts w:ascii="Trebuchet MS" w:hAnsi="Trebuchet MS" w:cs="Arial"/>
          <w:sz w:val="20"/>
          <w:szCs w:val="20"/>
        </w:rPr>
        <w:t>6</w:t>
      </w:r>
      <w:r w:rsidRPr="00BF5046">
        <w:rPr>
          <w:rFonts w:ascii="Trebuchet MS" w:hAnsi="Trebuchet MS" w:cs="Arial"/>
          <w:sz w:val="20"/>
          <w:szCs w:val="20"/>
        </w:rPr>
        <w:t xml:space="preserve">,000 </w:t>
      </w:r>
      <w:r>
        <w:rPr>
          <w:rFonts w:ascii="Trebuchet MS" w:hAnsi="Trebuchet MS" w:cs="Arial"/>
          <w:sz w:val="20"/>
          <w:szCs w:val="20"/>
        </w:rPr>
        <w:t xml:space="preserve">personas </w:t>
      </w:r>
      <w:r w:rsidRPr="00BF5046">
        <w:rPr>
          <w:rFonts w:ascii="Trebuchet MS" w:hAnsi="Trebuchet MS" w:cs="Arial"/>
          <w:sz w:val="20"/>
          <w:szCs w:val="20"/>
        </w:rPr>
        <w:t>integrantes,</w:t>
      </w:r>
      <w:r>
        <w:rPr>
          <w:rFonts w:ascii="Trebuchet MS" w:hAnsi="Trebuchet MS" w:cs="Arial"/>
          <w:sz w:val="20"/>
          <w:szCs w:val="20"/>
        </w:rPr>
        <w:t xml:space="preserve"> de las cuales más de 48 mil pertenecen a la comunidad estudiantil, casi 4 mil a la comunidad docente y más de 3 mil a la comunidad administrativa</w:t>
      </w:r>
      <w:r w:rsidRPr="00BF5046">
        <w:rPr>
          <w:rFonts w:ascii="Trebuchet MS" w:hAnsi="Trebuchet MS" w:cs="Arial"/>
          <w:sz w:val="20"/>
          <w:szCs w:val="20"/>
        </w:rPr>
        <w:t xml:space="preserve"> que se </w:t>
      </w:r>
      <w:r>
        <w:rPr>
          <w:rFonts w:ascii="Trebuchet MS" w:hAnsi="Trebuchet MS" w:cs="Arial"/>
          <w:sz w:val="20"/>
          <w:szCs w:val="20"/>
        </w:rPr>
        <w:t>desarrolla</w:t>
      </w:r>
      <w:r w:rsidRPr="00BF5046">
        <w:rPr>
          <w:rFonts w:ascii="Trebuchet MS" w:hAnsi="Trebuchet MS" w:cs="Arial"/>
          <w:sz w:val="20"/>
          <w:szCs w:val="20"/>
        </w:rPr>
        <w:t xml:space="preserve"> en 13 escuelas del Colegio del Nivel Medio Superior, así como 13 divisiones y 5</w:t>
      </w:r>
      <w:r>
        <w:rPr>
          <w:rFonts w:ascii="Trebuchet MS" w:hAnsi="Trebuchet MS" w:cs="Arial"/>
          <w:sz w:val="20"/>
          <w:szCs w:val="20"/>
        </w:rPr>
        <w:t>4</w:t>
      </w:r>
      <w:r w:rsidRPr="00BF5046">
        <w:rPr>
          <w:rFonts w:ascii="Trebuchet MS" w:hAnsi="Trebuchet MS" w:cs="Arial"/>
          <w:sz w:val="20"/>
          <w:szCs w:val="20"/>
        </w:rPr>
        <w:t xml:space="preserve"> departamentos de los cuatro campus del subsistema de nivel superior</w:t>
      </w:r>
      <w:r>
        <w:rPr>
          <w:rFonts w:ascii="Trebuchet MS" w:hAnsi="Trebuchet MS" w:cs="Arial"/>
          <w:sz w:val="20"/>
          <w:szCs w:val="20"/>
        </w:rPr>
        <w:t>, al igual que en el Campus Digital</w:t>
      </w:r>
      <w:r w:rsidRPr="00BF5046">
        <w:rPr>
          <w:rFonts w:ascii="Trebuchet MS" w:hAnsi="Trebuchet MS" w:cs="Arial"/>
          <w:sz w:val="20"/>
          <w:szCs w:val="20"/>
        </w:rPr>
        <w:t>.</w:t>
      </w:r>
    </w:p>
    <w:p w14:paraId="21B3B6C5" w14:textId="44C92D64" w:rsidR="00C95564" w:rsidRPr="00BF5046"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Universidad de Guanajuato tiene presencia en 13 municipios de Guanajuato, a través de sus 73 sedes, en las que se distribuyen 965 aulas, 322 laboratorios y 112 centros de cómputo; un patrimonio de bienes inmuebles equivalente a una superficie de 484.5 hectáreas.</w:t>
      </w:r>
    </w:p>
    <w:p w14:paraId="06775925" w14:textId="77777777" w:rsidR="00C95564" w:rsidRDefault="00C95564" w:rsidP="00C95564">
      <w:pPr>
        <w:shd w:val="clear" w:color="auto" w:fill="FFFFFF"/>
        <w:jc w:val="both"/>
        <w:textAlignment w:val="baseline"/>
        <w:rPr>
          <w:rFonts w:ascii="Trebuchet MS" w:hAnsi="Trebuchet MS" w:cs="Arial"/>
          <w:sz w:val="40"/>
          <w:szCs w:val="40"/>
        </w:rPr>
      </w:pPr>
      <w:r w:rsidRPr="00BF5046">
        <w:rPr>
          <w:rFonts w:ascii="Trebuchet MS" w:hAnsi="Trebuchet MS" w:cs="Arial"/>
          <w:sz w:val="20"/>
          <w:szCs w:val="20"/>
        </w:rPr>
        <w:t xml:space="preserve">Desde la reestructura académica de 2008, se han titulado casi 53,000 personas, sólo en </w:t>
      </w:r>
      <w:r>
        <w:rPr>
          <w:rFonts w:ascii="Trebuchet MS" w:hAnsi="Trebuchet MS" w:cs="Arial"/>
          <w:sz w:val="20"/>
          <w:szCs w:val="20"/>
        </w:rPr>
        <w:t>el ciclo 2024-2025</w:t>
      </w:r>
      <w:r w:rsidRPr="00BF5046">
        <w:rPr>
          <w:rFonts w:ascii="Trebuchet MS" w:hAnsi="Trebuchet MS" w:cs="Arial"/>
          <w:sz w:val="20"/>
          <w:szCs w:val="20"/>
        </w:rPr>
        <w:t xml:space="preserve"> se titularon más de 5,000 egresados de las 23</w:t>
      </w:r>
      <w:r>
        <w:rPr>
          <w:rFonts w:ascii="Trebuchet MS" w:hAnsi="Trebuchet MS" w:cs="Arial"/>
          <w:sz w:val="20"/>
          <w:szCs w:val="20"/>
        </w:rPr>
        <w:t>4</w:t>
      </w:r>
      <w:r w:rsidRPr="00BF5046">
        <w:rPr>
          <w:rFonts w:ascii="Trebuchet MS" w:hAnsi="Trebuchet MS" w:cs="Arial"/>
          <w:sz w:val="20"/>
          <w:szCs w:val="20"/>
        </w:rPr>
        <w:t xml:space="preserve"> oportunidades de formación que ofrecen los </w:t>
      </w:r>
      <w:r>
        <w:rPr>
          <w:rFonts w:ascii="Trebuchet MS" w:hAnsi="Trebuchet MS" w:cs="Arial"/>
          <w:sz w:val="20"/>
          <w:szCs w:val="20"/>
        </w:rPr>
        <w:t>206</w:t>
      </w:r>
      <w:r w:rsidRPr="00BF5046">
        <w:rPr>
          <w:rFonts w:ascii="Trebuchet MS" w:hAnsi="Trebuchet MS" w:cs="Arial"/>
          <w:sz w:val="20"/>
          <w:szCs w:val="20"/>
        </w:rPr>
        <w:t xml:space="preserve"> programas educativos de nivel medio superior, nivel medio superior terminal, de técnico superior universitario, licenciatura</w:t>
      </w:r>
      <w:r>
        <w:rPr>
          <w:rFonts w:ascii="Trebuchet MS" w:hAnsi="Trebuchet MS" w:cs="Arial"/>
          <w:sz w:val="20"/>
          <w:szCs w:val="20"/>
        </w:rPr>
        <w:t>,</w:t>
      </w:r>
      <w:r w:rsidRPr="00BF5046">
        <w:rPr>
          <w:rFonts w:ascii="Trebuchet MS" w:hAnsi="Trebuchet MS" w:cs="Arial"/>
          <w:sz w:val="20"/>
          <w:szCs w:val="20"/>
        </w:rPr>
        <w:t xml:space="preserve"> posgrado, en todas las áreas del conocimiento. El </w:t>
      </w:r>
      <w:r>
        <w:rPr>
          <w:rFonts w:ascii="Trebuchet MS" w:hAnsi="Trebuchet MS" w:cs="Arial"/>
          <w:sz w:val="20"/>
          <w:szCs w:val="20"/>
        </w:rPr>
        <w:t>98.92</w:t>
      </w:r>
      <w:r w:rsidRPr="00BF5046">
        <w:rPr>
          <w:rFonts w:ascii="Trebuchet MS" w:hAnsi="Trebuchet MS" w:cs="Arial"/>
          <w:sz w:val="20"/>
          <w:szCs w:val="20"/>
        </w:rPr>
        <w:t>% de la matrícula de licenciatura está inscrita en programas reconocidos por su calidad</w:t>
      </w:r>
      <w:r>
        <w:rPr>
          <w:rFonts w:ascii="Trebuchet MS" w:hAnsi="Trebuchet MS" w:cs="Arial"/>
          <w:sz w:val="20"/>
          <w:szCs w:val="20"/>
        </w:rPr>
        <w:t xml:space="preserve">, lo que significa que 83 programas educativos de licenciatura de los 85 evaluables, cuentan con un reconocimiento de calidad </w:t>
      </w:r>
      <w:r w:rsidRPr="000635C6">
        <w:rPr>
          <w:rFonts w:ascii="Trebuchet MS" w:hAnsi="Trebuchet MS" w:cs="Arial"/>
          <w:sz w:val="20"/>
          <w:szCs w:val="20"/>
        </w:rPr>
        <w:t>lo que contribuye a la permanencia de la</w:t>
      </w:r>
      <w:r>
        <w:rPr>
          <w:rFonts w:ascii="Trebuchet MS" w:hAnsi="Trebuchet MS" w:cs="Arial"/>
          <w:sz w:val="20"/>
          <w:szCs w:val="20"/>
        </w:rPr>
        <w:t xml:space="preserve"> </w:t>
      </w:r>
      <w:r w:rsidRPr="000635C6">
        <w:rPr>
          <w:rFonts w:ascii="Trebuchet MS" w:hAnsi="Trebuchet MS" w:cs="Arial"/>
          <w:sz w:val="20"/>
          <w:szCs w:val="20"/>
        </w:rPr>
        <w:t>UG en el Consorcio de Universidades Mexicanas, un</w:t>
      </w:r>
      <w:r>
        <w:rPr>
          <w:rFonts w:ascii="Trebuchet MS" w:hAnsi="Trebuchet MS" w:cs="Arial"/>
          <w:sz w:val="20"/>
          <w:szCs w:val="20"/>
        </w:rPr>
        <w:t xml:space="preserve"> </w:t>
      </w:r>
      <w:r w:rsidRPr="000635C6">
        <w:rPr>
          <w:rFonts w:ascii="Trebuchet MS" w:hAnsi="Trebuchet MS" w:cs="Arial"/>
          <w:sz w:val="20"/>
          <w:szCs w:val="20"/>
        </w:rPr>
        <w:t>espacio común de instituciones de educación superior</w:t>
      </w:r>
      <w:r>
        <w:rPr>
          <w:rFonts w:ascii="Trebuchet MS" w:hAnsi="Trebuchet MS" w:cs="Arial"/>
          <w:sz w:val="20"/>
          <w:szCs w:val="20"/>
        </w:rPr>
        <w:t xml:space="preserve"> </w:t>
      </w:r>
      <w:r w:rsidRPr="000635C6">
        <w:rPr>
          <w:rFonts w:ascii="Trebuchet MS" w:hAnsi="Trebuchet MS" w:cs="Arial"/>
          <w:sz w:val="20"/>
          <w:szCs w:val="20"/>
        </w:rPr>
        <w:t>con programas educativos reconocidos por el Sistema</w:t>
      </w:r>
      <w:r>
        <w:rPr>
          <w:rFonts w:ascii="Trebuchet MS" w:hAnsi="Trebuchet MS" w:cs="Arial"/>
          <w:sz w:val="20"/>
          <w:szCs w:val="20"/>
        </w:rPr>
        <w:t xml:space="preserve"> </w:t>
      </w:r>
      <w:r w:rsidRPr="000635C6">
        <w:rPr>
          <w:rFonts w:ascii="Trebuchet MS" w:hAnsi="Trebuchet MS" w:cs="Arial"/>
          <w:sz w:val="20"/>
          <w:szCs w:val="20"/>
        </w:rPr>
        <w:t>de Evaluación y Acreditación de la Educación Superior</w:t>
      </w:r>
      <w:r>
        <w:rPr>
          <w:rFonts w:ascii="Trebuchet MS" w:hAnsi="Trebuchet MS" w:cs="Arial"/>
          <w:sz w:val="20"/>
          <w:szCs w:val="20"/>
        </w:rPr>
        <w:t xml:space="preserve"> </w:t>
      </w:r>
      <w:r w:rsidRPr="000635C6">
        <w:rPr>
          <w:rFonts w:ascii="Trebuchet MS" w:hAnsi="Trebuchet MS" w:cs="Arial"/>
          <w:sz w:val="20"/>
          <w:szCs w:val="20"/>
        </w:rPr>
        <w:t>(SEAES).</w:t>
      </w:r>
      <w:r>
        <w:rPr>
          <w:rFonts w:ascii="Trebuchet MS" w:hAnsi="Trebuchet MS" w:cs="Arial"/>
          <w:sz w:val="20"/>
          <w:szCs w:val="20"/>
        </w:rPr>
        <w:t xml:space="preserve">De igual forma, </w:t>
      </w:r>
      <w:r w:rsidRPr="00C96C7C">
        <w:rPr>
          <w:rFonts w:ascii="Trebuchet MS" w:hAnsi="Trebuchet MS" w:cs="Arial"/>
          <w:sz w:val="20"/>
          <w:szCs w:val="20"/>
        </w:rPr>
        <w:t>75 programas de posgrado</w:t>
      </w:r>
      <w:r>
        <w:rPr>
          <w:rFonts w:ascii="Trebuchet MS" w:hAnsi="Trebuchet MS" w:cs="Arial"/>
          <w:sz w:val="20"/>
          <w:szCs w:val="20"/>
        </w:rPr>
        <w:t xml:space="preserve"> se encuentran</w:t>
      </w:r>
      <w:r w:rsidRPr="00C96C7C">
        <w:rPr>
          <w:rFonts w:ascii="Trebuchet MS" w:hAnsi="Trebuchet MS" w:cs="Arial"/>
          <w:sz w:val="20"/>
          <w:szCs w:val="20"/>
        </w:rPr>
        <w:t xml:space="preserve"> registrados en el Sistema Nacional de Posgrados.</w:t>
      </w:r>
      <w:r>
        <w:rPr>
          <w:rFonts w:ascii="Trebuchet MS" w:hAnsi="Trebuchet MS" w:cs="Arial"/>
          <w:sz w:val="20"/>
          <w:szCs w:val="20"/>
        </w:rPr>
        <w:t xml:space="preserve"> </w:t>
      </w:r>
    </w:p>
    <w:p w14:paraId="2BA38F0C" w14:textId="77777777" w:rsidR="00C95564" w:rsidRDefault="00C95564" w:rsidP="00C95564">
      <w:pPr>
        <w:shd w:val="clear" w:color="auto" w:fill="FFFFFF"/>
        <w:jc w:val="both"/>
        <w:textAlignment w:val="baseline"/>
        <w:rPr>
          <w:rFonts w:ascii="Trebuchet MS" w:hAnsi="Trebuchet MS" w:cs="Arial"/>
          <w:sz w:val="20"/>
          <w:szCs w:val="20"/>
        </w:rPr>
      </w:pPr>
      <w:r w:rsidRPr="00816C7D">
        <w:rPr>
          <w:rFonts w:ascii="Trebuchet MS" w:hAnsi="Trebuchet MS" w:cs="Arial"/>
          <w:sz w:val="20"/>
          <w:szCs w:val="20"/>
        </w:rPr>
        <w:t>La UG tiene 126 Cuerpos Académicos registrados ante la SEP</w:t>
      </w:r>
      <w:r>
        <w:rPr>
          <w:rFonts w:ascii="Trebuchet MS" w:hAnsi="Trebuchet MS" w:cs="Arial"/>
          <w:sz w:val="20"/>
          <w:szCs w:val="20"/>
        </w:rPr>
        <w:t>,</w:t>
      </w:r>
      <w:r w:rsidRPr="00816C7D">
        <w:rPr>
          <w:rFonts w:ascii="Trebuchet MS" w:hAnsi="Trebuchet MS" w:cs="Arial"/>
          <w:sz w:val="20"/>
          <w:szCs w:val="20"/>
        </w:rPr>
        <w:t xml:space="preserve"> 72 CA Consolidados</w:t>
      </w:r>
      <w:r>
        <w:rPr>
          <w:rFonts w:ascii="Trebuchet MS" w:hAnsi="Trebuchet MS" w:cs="Arial"/>
          <w:sz w:val="20"/>
          <w:szCs w:val="20"/>
        </w:rPr>
        <w:t xml:space="preserve">, </w:t>
      </w:r>
      <w:r w:rsidRPr="00816C7D">
        <w:rPr>
          <w:rFonts w:ascii="Trebuchet MS" w:hAnsi="Trebuchet MS" w:cs="Arial"/>
          <w:sz w:val="20"/>
          <w:szCs w:val="20"/>
        </w:rPr>
        <w:t>31 CA en Consolidación</w:t>
      </w:r>
      <w:r>
        <w:rPr>
          <w:rFonts w:ascii="Trebuchet MS" w:hAnsi="Trebuchet MS" w:cs="Arial"/>
          <w:sz w:val="20"/>
          <w:szCs w:val="20"/>
        </w:rPr>
        <w:t xml:space="preserve">, </w:t>
      </w:r>
      <w:r w:rsidRPr="00816C7D">
        <w:rPr>
          <w:rFonts w:ascii="Trebuchet MS" w:hAnsi="Trebuchet MS" w:cs="Arial"/>
          <w:sz w:val="20"/>
          <w:szCs w:val="20"/>
        </w:rPr>
        <w:t>23 CA en Formación</w:t>
      </w:r>
      <w:r>
        <w:rPr>
          <w:rFonts w:ascii="Trebuchet MS" w:hAnsi="Trebuchet MS" w:cs="Arial"/>
          <w:sz w:val="20"/>
          <w:szCs w:val="20"/>
        </w:rPr>
        <w:t xml:space="preserve">. </w:t>
      </w:r>
      <w:r w:rsidRPr="00816C7D">
        <w:rPr>
          <w:rFonts w:ascii="Trebuchet MS" w:hAnsi="Trebuchet MS" w:cs="Arial"/>
          <w:sz w:val="20"/>
          <w:szCs w:val="20"/>
        </w:rPr>
        <w:t xml:space="preserve">En el contexto nacional, para las 35 </w:t>
      </w:r>
      <w:proofErr w:type="spellStart"/>
      <w:r w:rsidRPr="00816C7D">
        <w:rPr>
          <w:rFonts w:ascii="Trebuchet MS" w:hAnsi="Trebuchet MS" w:cs="Arial"/>
          <w:sz w:val="20"/>
          <w:szCs w:val="20"/>
        </w:rPr>
        <w:t>UPEs</w:t>
      </w:r>
      <w:proofErr w:type="spellEnd"/>
      <w:r w:rsidRPr="00816C7D">
        <w:rPr>
          <w:rFonts w:ascii="Trebuchet MS" w:hAnsi="Trebuchet MS" w:cs="Arial"/>
          <w:sz w:val="20"/>
          <w:szCs w:val="20"/>
        </w:rPr>
        <w:t xml:space="preserve"> se tiene como promedio el registro de 47 CAC, encontrándose la UG por arriba de la media.</w:t>
      </w:r>
    </w:p>
    <w:p w14:paraId="3CB39873" w14:textId="77777777" w:rsidR="00C95564" w:rsidRDefault="00C95564" w:rsidP="00C95564">
      <w:pPr>
        <w:shd w:val="clear" w:color="auto" w:fill="FFFFFF"/>
        <w:jc w:val="both"/>
        <w:textAlignment w:val="baseline"/>
        <w:rPr>
          <w:rFonts w:ascii="Trebuchet MS" w:hAnsi="Trebuchet MS" w:cs="Arial"/>
          <w:sz w:val="20"/>
          <w:szCs w:val="20"/>
        </w:rPr>
      </w:pPr>
      <w:r w:rsidRPr="009C16B1">
        <w:rPr>
          <w:rFonts w:ascii="Trebuchet MS" w:hAnsi="Trebuchet MS" w:cs="Arial"/>
          <w:sz w:val="20"/>
          <w:szCs w:val="20"/>
        </w:rPr>
        <w:t>La Universidad de Guanajuato</w:t>
      </w:r>
      <w:r>
        <w:rPr>
          <w:rFonts w:ascii="Trebuchet MS" w:hAnsi="Trebuchet MS" w:cs="Arial"/>
          <w:sz w:val="20"/>
          <w:szCs w:val="20"/>
        </w:rPr>
        <w:t xml:space="preserve"> en octubre de 2022</w:t>
      </w:r>
      <w:r w:rsidRPr="009C16B1">
        <w:rPr>
          <w:rFonts w:ascii="Trebuchet MS" w:hAnsi="Trebuchet MS" w:cs="Arial"/>
          <w:sz w:val="20"/>
          <w:szCs w:val="20"/>
        </w:rPr>
        <w:t xml:space="preserve"> se convirtió en la primera institución de educación superior en México en recibir la Acreditación Institucional por parte de los Comités Interinstitucionales para la Evaluación de la Educación Superior (CIEES), obteniendo el máximo periodo de siete años (2022-2029) por su alta calidad en funciones y </w:t>
      </w:r>
      <w:r>
        <w:rPr>
          <w:rFonts w:ascii="Trebuchet MS" w:hAnsi="Trebuchet MS" w:cs="Arial"/>
          <w:sz w:val="20"/>
          <w:szCs w:val="20"/>
        </w:rPr>
        <w:t>objetivos.</w:t>
      </w:r>
      <w:r w:rsidRPr="00BF5046">
        <w:rPr>
          <w:rFonts w:ascii="Trebuchet MS" w:hAnsi="Trebuchet MS" w:cs="Arial"/>
          <w:sz w:val="20"/>
          <w:szCs w:val="20"/>
        </w:rPr>
        <w:t xml:space="preserve"> </w:t>
      </w:r>
    </w:p>
    <w:p w14:paraId="50EC4C7E" w14:textId="77777777" w:rsidR="00C95564" w:rsidRDefault="00C95564" w:rsidP="00C95564">
      <w:pPr>
        <w:shd w:val="clear" w:color="auto" w:fill="FFFFFF"/>
        <w:jc w:val="both"/>
        <w:textAlignment w:val="baseline"/>
        <w:rPr>
          <w:rFonts w:ascii="Trebuchet MS" w:hAnsi="Trebuchet MS" w:cs="Arial"/>
          <w:sz w:val="20"/>
          <w:szCs w:val="20"/>
        </w:rPr>
      </w:pPr>
      <w:r w:rsidRPr="00D84DBF">
        <w:rPr>
          <w:rFonts w:ascii="Trebuchet MS" w:hAnsi="Trebuchet MS" w:cs="Arial"/>
          <w:sz w:val="20"/>
          <w:szCs w:val="20"/>
        </w:rPr>
        <w:t>Del profesorado de tiempo completo del Nivel Superior, el 82.9</w:t>
      </w:r>
      <w:r w:rsidRPr="00D84DBF">
        <w:rPr>
          <w:rFonts w:ascii="Arial" w:hAnsi="Arial" w:cs="Arial"/>
          <w:sz w:val="20"/>
          <w:szCs w:val="20"/>
        </w:rPr>
        <w:t> </w:t>
      </w:r>
      <w:r w:rsidRPr="00D84DBF">
        <w:rPr>
          <w:rFonts w:ascii="Trebuchet MS" w:hAnsi="Trebuchet MS" w:cs="Arial"/>
          <w:sz w:val="20"/>
          <w:szCs w:val="20"/>
        </w:rPr>
        <w:t>% cuenta con reconocimiento PRODEP, posicionando a la UG en el 7.</w:t>
      </w:r>
      <w:r w:rsidRPr="00D84DBF">
        <w:rPr>
          <w:rFonts w:ascii="Trebuchet MS" w:hAnsi="Trebuchet MS" w:cs="Trebuchet MS"/>
          <w:sz w:val="20"/>
          <w:szCs w:val="20"/>
        </w:rPr>
        <w:t>º</w:t>
      </w:r>
      <w:r w:rsidRPr="00D84DBF">
        <w:rPr>
          <w:rFonts w:ascii="Trebuchet MS" w:hAnsi="Trebuchet MS" w:cs="Arial"/>
          <w:sz w:val="20"/>
          <w:szCs w:val="20"/>
        </w:rPr>
        <w:t xml:space="preserve"> lugar nacional entre las Universidades P</w:t>
      </w:r>
      <w:r w:rsidRPr="00D84DBF">
        <w:rPr>
          <w:rFonts w:ascii="Trebuchet MS" w:hAnsi="Trebuchet MS" w:cs="Trebuchet MS"/>
          <w:sz w:val="20"/>
          <w:szCs w:val="20"/>
        </w:rPr>
        <w:t>ú</w:t>
      </w:r>
      <w:r w:rsidRPr="00D84DBF">
        <w:rPr>
          <w:rFonts w:ascii="Trebuchet MS" w:hAnsi="Trebuchet MS" w:cs="Arial"/>
          <w:sz w:val="20"/>
          <w:szCs w:val="20"/>
        </w:rPr>
        <w:t>blicas Estatales.</w:t>
      </w:r>
      <w:r>
        <w:rPr>
          <w:rFonts w:ascii="Trebuchet MS" w:hAnsi="Trebuchet MS" w:cs="Arial"/>
          <w:sz w:val="20"/>
          <w:szCs w:val="20"/>
        </w:rPr>
        <w:t xml:space="preserve"> </w:t>
      </w:r>
      <w:r w:rsidRPr="00DA3B04">
        <w:rPr>
          <w:rFonts w:ascii="Trebuchet MS" w:hAnsi="Trebuchet MS" w:cs="Arial"/>
          <w:sz w:val="20"/>
          <w:szCs w:val="20"/>
        </w:rPr>
        <w:t>La UG cuenta con 716 integrantes de la planta académica registrados en el SNII y el Sistema de Creadores de Arte. Representan el 54.5</w:t>
      </w:r>
      <w:r w:rsidRPr="00DA3B04">
        <w:rPr>
          <w:rFonts w:ascii="Arial" w:hAnsi="Arial" w:cs="Arial"/>
          <w:sz w:val="20"/>
          <w:szCs w:val="20"/>
        </w:rPr>
        <w:t> </w:t>
      </w:r>
      <w:r w:rsidRPr="00DA3B04">
        <w:rPr>
          <w:rFonts w:ascii="Trebuchet MS" w:hAnsi="Trebuchet MS" w:cs="Arial"/>
          <w:sz w:val="20"/>
          <w:szCs w:val="20"/>
        </w:rPr>
        <w:t>% del total estatal, ubicando a la UG en el 8.</w:t>
      </w:r>
      <w:r w:rsidRPr="00DA3B04">
        <w:rPr>
          <w:rFonts w:ascii="Trebuchet MS" w:hAnsi="Trebuchet MS" w:cs="Trebuchet MS"/>
          <w:sz w:val="20"/>
          <w:szCs w:val="20"/>
        </w:rPr>
        <w:t>º</w:t>
      </w:r>
      <w:r w:rsidRPr="00DA3B04">
        <w:rPr>
          <w:rFonts w:ascii="Trebuchet MS" w:hAnsi="Trebuchet MS" w:cs="Arial"/>
          <w:sz w:val="20"/>
          <w:szCs w:val="20"/>
        </w:rPr>
        <w:t xml:space="preserve"> lugar nacional entre Universidades P</w:t>
      </w:r>
      <w:r w:rsidRPr="00DA3B04">
        <w:rPr>
          <w:rFonts w:ascii="Trebuchet MS" w:hAnsi="Trebuchet MS" w:cs="Trebuchet MS"/>
          <w:sz w:val="20"/>
          <w:szCs w:val="20"/>
        </w:rPr>
        <w:t>ú</w:t>
      </w:r>
      <w:r w:rsidRPr="00DA3B04">
        <w:rPr>
          <w:rFonts w:ascii="Trebuchet MS" w:hAnsi="Trebuchet MS" w:cs="Arial"/>
          <w:sz w:val="20"/>
          <w:szCs w:val="20"/>
        </w:rPr>
        <w:t>blicas Estatales y en el 5.</w:t>
      </w:r>
      <w:r w:rsidRPr="00DA3B04">
        <w:rPr>
          <w:rFonts w:ascii="Trebuchet MS" w:hAnsi="Trebuchet MS" w:cs="Trebuchet MS"/>
          <w:sz w:val="20"/>
          <w:szCs w:val="20"/>
        </w:rPr>
        <w:t>º</w:t>
      </w:r>
      <w:r w:rsidRPr="00DA3B04">
        <w:rPr>
          <w:rFonts w:ascii="Trebuchet MS" w:hAnsi="Trebuchet MS" w:cs="Arial"/>
          <w:sz w:val="20"/>
          <w:szCs w:val="20"/>
        </w:rPr>
        <w:t xml:space="preserve"> por n</w:t>
      </w:r>
      <w:r w:rsidRPr="00DA3B04">
        <w:rPr>
          <w:rFonts w:ascii="Trebuchet MS" w:hAnsi="Trebuchet MS" w:cs="Trebuchet MS"/>
          <w:sz w:val="20"/>
          <w:szCs w:val="20"/>
        </w:rPr>
        <w:t>ú</w:t>
      </w:r>
      <w:r w:rsidRPr="00DA3B04">
        <w:rPr>
          <w:rFonts w:ascii="Trebuchet MS" w:hAnsi="Trebuchet MS" w:cs="Arial"/>
          <w:sz w:val="20"/>
          <w:szCs w:val="20"/>
        </w:rPr>
        <w:t>mero de integrantes con nivel II y III.</w:t>
      </w:r>
    </w:p>
    <w:p w14:paraId="143F5A03" w14:textId="77777777" w:rsidR="00C95564" w:rsidRDefault="00C95564" w:rsidP="00C95564">
      <w:pPr>
        <w:shd w:val="clear" w:color="auto" w:fill="FFFFFF"/>
        <w:jc w:val="both"/>
        <w:textAlignment w:val="baseline"/>
        <w:rPr>
          <w:rFonts w:ascii="Trebuchet MS" w:hAnsi="Trebuchet MS" w:cs="Arial"/>
          <w:sz w:val="20"/>
          <w:szCs w:val="20"/>
        </w:rPr>
      </w:pPr>
      <w:r w:rsidRPr="00711988">
        <w:rPr>
          <w:rFonts w:ascii="Trebuchet MS" w:hAnsi="Trebuchet MS" w:cs="Arial"/>
          <w:sz w:val="20"/>
          <w:szCs w:val="20"/>
        </w:rPr>
        <w:t>El proyecto Cultura UG ofreció</w:t>
      </w:r>
      <w:r>
        <w:rPr>
          <w:rFonts w:ascii="Trebuchet MS" w:hAnsi="Trebuchet MS" w:cs="Arial"/>
          <w:sz w:val="20"/>
          <w:szCs w:val="20"/>
        </w:rPr>
        <w:t xml:space="preserve"> </w:t>
      </w:r>
      <w:r w:rsidRPr="00711988">
        <w:rPr>
          <w:rFonts w:ascii="Trebuchet MS" w:hAnsi="Trebuchet MS" w:cs="Arial"/>
          <w:sz w:val="20"/>
          <w:szCs w:val="20"/>
        </w:rPr>
        <w:t>más de 3 mil actividades artísticas y culturales durante el ciclo 2024-2025, contando con una participación superior a las 2 millones 990 mil personas</w:t>
      </w:r>
      <w:r>
        <w:rPr>
          <w:rFonts w:ascii="Trebuchet MS" w:hAnsi="Trebuchet MS" w:cs="Arial"/>
          <w:sz w:val="20"/>
          <w:szCs w:val="20"/>
        </w:rPr>
        <w:t>; l</w:t>
      </w:r>
      <w:r w:rsidRPr="00223768">
        <w:rPr>
          <w:rFonts w:ascii="Trebuchet MS" w:hAnsi="Trebuchet MS" w:cs="Arial"/>
          <w:sz w:val="20"/>
          <w:szCs w:val="20"/>
        </w:rPr>
        <w:t>a capacidad inventiva de la comunidad universitaria ubica a esta casa de estudios en la cuarta posición (a nivel nacional) dentro de las universidades públicas estatales con mayor número de patentes obtenidas en México durante 2024; y en la décima tercera posición (a nivel nacional) respecto a la producción inventiva de las Instituciones de Educación Superior del país con más títulos de patentes en el 2024 en México; ambas referencias de acuerdo con los datos estadísticos del Instituto Mexicano de la Propiedad Industrial (IMPI)</w:t>
      </w:r>
      <w:r>
        <w:rPr>
          <w:rFonts w:ascii="Trebuchet MS" w:hAnsi="Trebuchet MS" w:cs="Arial"/>
          <w:sz w:val="20"/>
          <w:szCs w:val="20"/>
        </w:rPr>
        <w:t>; n</w:t>
      </w:r>
      <w:r w:rsidRPr="00A90FC4">
        <w:rPr>
          <w:rFonts w:ascii="Trebuchet MS" w:hAnsi="Trebuchet MS" w:cs="Arial"/>
          <w:sz w:val="20"/>
          <w:szCs w:val="20"/>
        </w:rPr>
        <w:t>uestra Institución cuenta con 327 convenios académicos vigentes, de los cuales 234 son internacionales y 93 nacionales</w:t>
      </w:r>
      <w:r>
        <w:rPr>
          <w:rFonts w:ascii="Trebuchet MS" w:hAnsi="Trebuchet MS" w:cs="Arial"/>
          <w:sz w:val="20"/>
          <w:szCs w:val="20"/>
        </w:rPr>
        <w:t>; además, l</w:t>
      </w:r>
      <w:r w:rsidRPr="00680EAF">
        <w:rPr>
          <w:rFonts w:ascii="Trebuchet MS" w:hAnsi="Trebuchet MS" w:cs="Arial"/>
          <w:sz w:val="20"/>
          <w:szCs w:val="20"/>
        </w:rPr>
        <w:t>a UG registró 172 proyectos de vinculación con sectores productivo, social y gubernamental</w:t>
      </w:r>
      <w:r>
        <w:rPr>
          <w:rFonts w:ascii="Trebuchet MS" w:hAnsi="Trebuchet MS" w:cs="Arial"/>
          <w:sz w:val="20"/>
          <w:szCs w:val="20"/>
        </w:rPr>
        <w:t xml:space="preserve">. </w:t>
      </w:r>
    </w:p>
    <w:p w14:paraId="5D6CEF91" w14:textId="77777777" w:rsidR="00C95564" w:rsidRDefault="00C95564" w:rsidP="00C95564">
      <w:pPr>
        <w:shd w:val="clear" w:color="auto" w:fill="FFFFFF"/>
        <w:jc w:val="both"/>
        <w:textAlignment w:val="baseline"/>
        <w:rPr>
          <w:rFonts w:ascii="Trebuchet MS" w:hAnsi="Trebuchet MS" w:cs="Arial"/>
          <w:sz w:val="20"/>
          <w:szCs w:val="20"/>
        </w:rPr>
      </w:pPr>
      <w:r w:rsidRPr="00325CF5">
        <w:rPr>
          <w:rFonts w:ascii="Trebuchet MS" w:hAnsi="Trebuchet MS" w:cs="Arial"/>
          <w:sz w:val="20"/>
          <w:szCs w:val="20"/>
        </w:rPr>
        <w:lastRenderedPageBreak/>
        <w:t xml:space="preserve">El </w:t>
      </w:r>
      <w:r w:rsidRPr="00DC796E">
        <w:rPr>
          <w:rFonts w:ascii="Trebuchet MS" w:hAnsi="Trebuchet MS" w:cs="Arial"/>
          <w:b/>
          <w:bCs/>
          <w:sz w:val="20"/>
          <w:szCs w:val="20"/>
        </w:rPr>
        <w:t>Ecosistema de Vinculación, Innovación, Desarrollo y Aplicación del conocimiento de la Universidad de Guanajuato (EVIDA UG)</w:t>
      </w:r>
      <w:r w:rsidRPr="00325CF5">
        <w:rPr>
          <w:rFonts w:ascii="Trebuchet MS" w:hAnsi="Trebuchet MS" w:cs="Arial"/>
          <w:sz w:val="20"/>
          <w:szCs w:val="20"/>
        </w:rPr>
        <w:t xml:space="preserve"> fue creado oficialmente el 21 de marzo de 2018 como un mecanismo institucional para </w:t>
      </w:r>
      <w:r>
        <w:rPr>
          <w:rFonts w:ascii="Trebuchet MS" w:hAnsi="Trebuchet MS" w:cs="Arial"/>
          <w:sz w:val="20"/>
          <w:szCs w:val="20"/>
        </w:rPr>
        <w:t xml:space="preserve">fortalecer </w:t>
      </w:r>
      <w:r w:rsidRPr="00325CF5">
        <w:rPr>
          <w:rFonts w:ascii="Trebuchet MS" w:hAnsi="Trebuchet MS" w:cs="Arial"/>
          <w:sz w:val="20"/>
          <w:szCs w:val="20"/>
        </w:rPr>
        <w:t>la vinculación</w:t>
      </w:r>
      <w:r>
        <w:rPr>
          <w:rFonts w:ascii="Trebuchet MS" w:hAnsi="Trebuchet MS" w:cs="Arial"/>
          <w:sz w:val="20"/>
          <w:szCs w:val="20"/>
        </w:rPr>
        <w:t xml:space="preserve"> universitaria</w:t>
      </w:r>
      <w:r w:rsidRPr="00325CF5">
        <w:rPr>
          <w:rFonts w:ascii="Trebuchet MS" w:hAnsi="Trebuchet MS" w:cs="Arial"/>
          <w:sz w:val="20"/>
          <w:szCs w:val="20"/>
        </w:rPr>
        <w:t xml:space="preserve"> con los sectores público, privado y social</w:t>
      </w:r>
      <w:r>
        <w:rPr>
          <w:rFonts w:ascii="Trebuchet MS" w:hAnsi="Trebuchet MS" w:cs="Arial"/>
          <w:sz w:val="20"/>
          <w:szCs w:val="20"/>
        </w:rPr>
        <w:t>. Teniendo como</w:t>
      </w:r>
      <w:r w:rsidRPr="00325CF5">
        <w:rPr>
          <w:rFonts w:ascii="Trebuchet MS" w:hAnsi="Trebuchet MS" w:cs="Arial"/>
          <w:sz w:val="20"/>
          <w:szCs w:val="20"/>
        </w:rPr>
        <w:t xml:space="preserve"> propósito </w:t>
      </w:r>
      <w:r>
        <w:rPr>
          <w:rFonts w:ascii="Trebuchet MS" w:hAnsi="Trebuchet MS" w:cs="Arial"/>
          <w:sz w:val="20"/>
          <w:szCs w:val="20"/>
        </w:rPr>
        <w:t>la</w:t>
      </w:r>
      <w:r w:rsidRPr="00325CF5">
        <w:rPr>
          <w:rFonts w:ascii="Trebuchet MS" w:hAnsi="Trebuchet MS" w:cs="Arial"/>
          <w:sz w:val="20"/>
          <w:szCs w:val="20"/>
        </w:rPr>
        <w:t xml:space="preserve"> transfo</w:t>
      </w:r>
      <w:r>
        <w:rPr>
          <w:rFonts w:ascii="Trebuchet MS" w:hAnsi="Trebuchet MS" w:cs="Arial"/>
          <w:sz w:val="20"/>
          <w:szCs w:val="20"/>
        </w:rPr>
        <w:t>r</w:t>
      </w:r>
      <w:r w:rsidRPr="00325CF5">
        <w:rPr>
          <w:rFonts w:ascii="Trebuchet MS" w:hAnsi="Trebuchet MS" w:cs="Arial"/>
          <w:sz w:val="20"/>
          <w:szCs w:val="20"/>
        </w:rPr>
        <w:t>ma</w:t>
      </w:r>
      <w:r>
        <w:rPr>
          <w:rFonts w:ascii="Trebuchet MS" w:hAnsi="Trebuchet MS" w:cs="Arial"/>
          <w:sz w:val="20"/>
          <w:szCs w:val="20"/>
        </w:rPr>
        <w:t>ción</w:t>
      </w:r>
      <w:r w:rsidRPr="00325CF5">
        <w:rPr>
          <w:rFonts w:ascii="Trebuchet MS" w:hAnsi="Trebuchet MS" w:cs="Arial"/>
          <w:sz w:val="20"/>
          <w:szCs w:val="20"/>
        </w:rPr>
        <w:t xml:space="preserve"> </w:t>
      </w:r>
      <w:r>
        <w:rPr>
          <w:rFonts w:ascii="Trebuchet MS" w:hAnsi="Trebuchet MS" w:cs="Arial"/>
          <w:sz w:val="20"/>
          <w:szCs w:val="20"/>
        </w:rPr>
        <w:t>d</w:t>
      </w:r>
      <w:r w:rsidRPr="00325CF5">
        <w:rPr>
          <w:rFonts w:ascii="Trebuchet MS" w:hAnsi="Trebuchet MS" w:cs="Arial"/>
          <w:sz w:val="20"/>
          <w:szCs w:val="20"/>
        </w:rPr>
        <w:t>el conocimiento universitario en impacto social</w:t>
      </w:r>
      <w:r>
        <w:rPr>
          <w:rFonts w:ascii="Trebuchet MS" w:hAnsi="Trebuchet MS" w:cs="Arial"/>
          <w:sz w:val="20"/>
          <w:szCs w:val="20"/>
        </w:rPr>
        <w:t>, s</w:t>
      </w:r>
      <w:r w:rsidRPr="00325CF5">
        <w:rPr>
          <w:rFonts w:ascii="Trebuchet MS" w:hAnsi="Trebuchet MS" w:cs="Arial"/>
          <w:sz w:val="20"/>
          <w:szCs w:val="20"/>
        </w:rPr>
        <w:t xml:space="preserve">us </w:t>
      </w:r>
      <w:r>
        <w:rPr>
          <w:rFonts w:ascii="Trebuchet MS" w:hAnsi="Trebuchet MS" w:cs="Arial"/>
          <w:sz w:val="20"/>
          <w:szCs w:val="20"/>
        </w:rPr>
        <w:t>líneas de acción incluyen</w:t>
      </w:r>
      <w:r w:rsidRPr="00325CF5">
        <w:rPr>
          <w:rFonts w:ascii="Trebuchet MS" w:hAnsi="Trebuchet MS" w:cs="Arial"/>
          <w:sz w:val="20"/>
          <w:szCs w:val="20"/>
        </w:rPr>
        <w:t xml:space="preserve"> la aplicación práctica del conocimiento, el impulso a la innovación y al emprendimiento, la </w:t>
      </w:r>
      <w:r>
        <w:rPr>
          <w:rFonts w:ascii="Trebuchet MS" w:hAnsi="Trebuchet MS" w:cs="Arial"/>
          <w:sz w:val="20"/>
          <w:szCs w:val="20"/>
        </w:rPr>
        <w:t xml:space="preserve">difusión y la </w:t>
      </w:r>
      <w:r w:rsidRPr="00325CF5">
        <w:rPr>
          <w:rFonts w:ascii="Trebuchet MS" w:hAnsi="Trebuchet MS" w:cs="Arial"/>
          <w:sz w:val="20"/>
          <w:szCs w:val="20"/>
        </w:rPr>
        <w:t xml:space="preserve">transferencia </w:t>
      </w:r>
      <w:r>
        <w:rPr>
          <w:rFonts w:ascii="Trebuchet MS" w:hAnsi="Trebuchet MS" w:cs="Arial"/>
          <w:sz w:val="20"/>
          <w:szCs w:val="20"/>
        </w:rPr>
        <w:t>de conocimiento, la</w:t>
      </w:r>
      <w:r w:rsidRPr="00325CF5">
        <w:rPr>
          <w:rFonts w:ascii="Trebuchet MS" w:hAnsi="Trebuchet MS" w:cs="Arial"/>
          <w:sz w:val="20"/>
          <w:szCs w:val="20"/>
        </w:rPr>
        <w:t xml:space="preserve"> protección de la propiedad intelectual, la educación continua</w:t>
      </w:r>
      <w:r>
        <w:rPr>
          <w:rFonts w:ascii="Trebuchet MS" w:hAnsi="Trebuchet MS" w:cs="Arial"/>
          <w:sz w:val="20"/>
          <w:szCs w:val="20"/>
        </w:rPr>
        <w:t xml:space="preserve"> y más recientemente el Servicio Social (Universitario y Profesional). De esta forma, la Institución articula</w:t>
      </w:r>
      <w:r w:rsidRPr="00325CF5">
        <w:rPr>
          <w:rFonts w:ascii="Trebuchet MS" w:hAnsi="Trebuchet MS" w:cs="Arial"/>
          <w:sz w:val="20"/>
          <w:szCs w:val="20"/>
        </w:rPr>
        <w:t xml:space="preserve"> la generación de soluciones a problemáticas sociales y productivas, </w:t>
      </w:r>
      <w:r>
        <w:rPr>
          <w:rFonts w:ascii="Trebuchet MS" w:hAnsi="Trebuchet MS" w:cs="Arial"/>
          <w:sz w:val="20"/>
          <w:szCs w:val="20"/>
        </w:rPr>
        <w:t xml:space="preserve">contribuyendo a </w:t>
      </w:r>
      <w:r w:rsidRPr="00325CF5">
        <w:rPr>
          <w:rFonts w:ascii="Trebuchet MS" w:hAnsi="Trebuchet MS" w:cs="Arial"/>
          <w:sz w:val="20"/>
          <w:szCs w:val="20"/>
        </w:rPr>
        <w:t>l</w:t>
      </w:r>
      <w:r>
        <w:rPr>
          <w:rFonts w:ascii="Trebuchet MS" w:hAnsi="Trebuchet MS" w:cs="Arial"/>
          <w:sz w:val="20"/>
          <w:szCs w:val="20"/>
        </w:rPr>
        <w:t>a mejora de su entorno y al</w:t>
      </w:r>
      <w:r w:rsidRPr="00325CF5">
        <w:rPr>
          <w:rFonts w:ascii="Trebuchet MS" w:hAnsi="Trebuchet MS" w:cs="Arial"/>
          <w:sz w:val="20"/>
          <w:szCs w:val="20"/>
        </w:rPr>
        <w:t xml:space="preserve"> desarrollo regional</w:t>
      </w:r>
      <w:r>
        <w:rPr>
          <w:rFonts w:ascii="Trebuchet MS" w:hAnsi="Trebuchet MS" w:cs="Arial"/>
          <w:sz w:val="20"/>
          <w:szCs w:val="20"/>
        </w:rPr>
        <w:t>,</w:t>
      </w:r>
      <w:r w:rsidRPr="00325CF5">
        <w:rPr>
          <w:rFonts w:ascii="Trebuchet MS" w:hAnsi="Trebuchet MS" w:cs="Arial"/>
          <w:sz w:val="20"/>
          <w:szCs w:val="20"/>
        </w:rPr>
        <w:t xml:space="preserve"> </w:t>
      </w:r>
      <w:r>
        <w:rPr>
          <w:rFonts w:ascii="Trebuchet MS" w:hAnsi="Trebuchet MS" w:cs="Arial"/>
          <w:sz w:val="20"/>
          <w:szCs w:val="20"/>
        </w:rPr>
        <w:t>consolidando su</w:t>
      </w:r>
      <w:r w:rsidRPr="00325CF5">
        <w:rPr>
          <w:rFonts w:ascii="Trebuchet MS" w:hAnsi="Trebuchet MS" w:cs="Arial"/>
          <w:sz w:val="20"/>
          <w:szCs w:val="20"/>
        </w:rPr>
        <w:t xml:space="preserve"> posicionamiento como una </w:t>
      </w:r>
      <w:r>
        <w:rPr>
          <w:rFonts w:ascii="Trebuchet MS" w:hAnsi="Trebuchet MS" w:cs="Arial"/>
          <w:sz w:val="20"/>
          <w:szCs w:val="20"/>
        </w:rPr>
        <w:t>Casa de Estudios</w:t>
      </w:r>
      <w:r w:rsidRPr="00325CF5">
        <w:rPr>
          <w:rFonts w:ascii="Trebuchet MS" w:hAnsi="Trebuchet MS" w:cs="Arial"/>
          <w:sz w:val="20"/>
          <w:szCs w:val="20"/>
        </w:rPr>
        <w:t xml:space="preserve"> </w:t>
      </w:r>
      <w:r w:rsidRPr="004A7DD2">
        <w:rPr>
          <w:rFonts w:ascii="Trebuchet MS" w:hAnsi="Trebuchet MS" w:cs="Arial"/>
          <w:sz w:val="20"/>
          <w:szCs w:val="20"/>
        </w:rPr>
        <w:t>comprometida con la innovación, la responsabilidad social y el desarrollo sostenible, alinea</w:t>
      </w:r>
      <w:r>
        <w:rPr>
          <w:rFonts w:ascii="Trebuchet MS" w:hAnsi="Trebuchet MS" w:cs="Arial"/>
          <w:sz w:val="20"/>
          <w:szCs w:val="20"/>
        </w:rPr>
        <w:t>ndo su actuar</w:t>
      </w:r>
      <w:r w:rsidRPr="004A7DD2">
        <w:rPr>
          <w:rFonts w:ascii="Trebuchet MS" w:hAnsi="Trebuchet MS" w:cs="Arial"/>
          <w:sz w:val="20"/>
          <w:szCs w:val="20"/>
        </w:rPr>
        <w:t xml:space="preserve"> con políticas públicas </w:t>
      </w:r>
      <w:r>
        <w:rPr>
          <w:rFonts w:ascii="Trebuchet MS" w:hAnsi="Trebuchet MS" w:cs="Arial"/>
          <w:sz w:val="20"/>
          <w:szCs w:val="20"/>
        </w:rPr>
        <w:t xml:space="preserve">que apoyan </w:t>
      </w:r>
      <w:r w:rsidRPr="00931AF3">
        <w:rPr>
          <w:rFonts w:ascii="Trebuchet MS" w:hAnsi="Trebuchet MS" w:cs="Arial"/>
          <w:sz w:val="20"/>
          <w:szCs w:val="20"/>
        </w:rPr>
        <w:t>la innovación, el emprendimiento y el desarrollo de talento</w:t>
      </w:r>
      <w:r w:rsidRPr="00325CF5">
        <w:rPr>
          <w:rFonts w:ascii="Trebuchet MS" w:hAnsi="Trebuchet MS" w:cs="Arial"/>
          <w:sz w:val="20"/>
          <w:szCs w:val="20"/>
        </w:rPr>
        <w:t>.</w:t>
      </w:r>
    </w:p>
    <w:p w14:paraId="372F7CA5" w14:textId="77777777" w:rsidR="00C95564" w:rsidRPr="0062718F"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El establecimiento del</w:t>
      </w:r>
      <w:r w:rsidRPr="0062718F">
        <w:rPr>
          <w:rFonts w:ascii="Trebuchet MS" w:hAnsi="Trebuchet MS" w:cs="Arial"/>
          <w:sz w:val="20"/>
          <w:szCs w:val="20"/>
        </w:rPr>
        <w:t xml:space="preserve"> </w:t>
      </w:r>
      <w:r w:rsidRPr="00DC796E">
        <w:rPr>
          <w:rFonts w:ascii="Trebuchet MS" w:hAnsi="Trebuchet MS" w:cs="Arial"/>
          <w:b/>
          <w:bCs/>
          <w:sz w:val="20"/>
          <w:szCs w:val="20"/>
        </w:rPr>
        <w:t>Sistema de Educación Digital de la Universidad de Guanajuato (</w:t>
      </w:r>
      <w:proofErr w:type="spellStart"/>
      <w:r w:rsidRPr="00DC796E">
        <w:rPr>
          <w:rFonts w:ascii="Trebuchet MS" w:hAnsi="Trebuchet MS" w:cs="Arial"/>
          <w:b/>
          <w:bCs/>
          <w:sz w:val="20"/>
          <w:szCs w:val="20"/>
        </w:rPr>
        <w:t>SEDigital</w:t>
      </w:r>
      <w:proofErr w:type="spellEnd"/>
      <w:r w:rsidRPr="00DC796E">
        <w:rPr>
          <w:rFonts w:ascii="Trebuchet MS" w:hAnsi="Trebuchet MS" w:cs="Arial"/>
          <w:b/>
          <w:bCs/>
          <w:sz w:val="20"/>
          <w:szCs w:val="20"/>
        </w:rPr>
        <w:t>)</w:t>
      </w:r>
      <w:r>
        <w:rPr>
          <w:rFonts w:ascii="Trebuchet MS" w:hAnsi="Trebuchet MS" w:cs="Arial"/>
          <w:sz w:val="20"/>
          <w:szCs w:val="20"/>
        </w:rPr>
        <w:t xml:space="preserve"> tiene como antecedente directo la creación en 2018 del </w:t>
      </w:r>
      <w:r w:rsidRPr="0062718F">
        <w:rPr>
          <w:rFonts w:ascii="Trebuchet MS" w:hAnsi="Trebuchet MS" w:cs="Arial"/>
          <w:sz w:val="20"/>
          <w:szCs w:val="20"/>
        </w:rPr>
        <w:t>Sistema Universitario de Multimodalidad Educativa</w:t>
      </w:r>
      <w:r>
        <w:rPr>
          <w:rFonts w:ascii="Trebuchet MS" w:hAnsi="Trebuchet MS" w:cs="Arial"/>
          <w:sz w:val="20"/>
          <w:szCs w:val="20"/>
        </w:rPr>
        <w:t xml:space="preserve">, estructura que se enfocó en </w:t>
      </w:r>
      <w:r w:rsidRPr="0062718F">
        <w:rPr>
          <w:rFonts w:ascii="Trebuchet MS" w:hAnsi="Trebuchet MS" w:cs="Arial"/>
          <w:sz w:val="20"/>
          <w:szCs w:val="20"/>
        </w:rPr>
        <w:t xml:space="preserve">consolidar </w:t>
      </w:r>
      <w:r>
        <w:rPr>
          <w:rFonts w:ascii="Trebuchet MS" w:hAnsi="Trebuchet MS" w:cs="Arial"/>
          <w:sz w:val="20"/>
          <w:szCs w:val="20"/>
        </w:rPr>
        <w:t xml:space="preserve">la </w:t>
      </w:r>
      <w:r w:rsidRPr="0062718F">
        <w:rPr>
          <w:rFonts w:ascii="Trebuchet MS" w:hAnsi="Trebuchet MS" w:cs="Arial"/>
          <w:sz w:val="20"/>
          <w:szCs w:val="20"/>
        </w:rPr>
        <w:t>modalidad</w:t>
      </w:r>
      <w:r>
        <w:rPr>
          <w:rFonts w:ascii="Trebuchet MS" w:hAnsi="Trebuchet MS" w:cs="Arial"/>
          <w:sz w:val="20"/>
          <w:szCs w:val="20"/>
        </w:rPr>
        <w:t xml:space="preserve"> </w:t>
      </w:r>
      <w:r w:rsidRPr="0062718F">
        <w:rPr>
          <w:rFonts w:ascii="Trebuchet MS" w:hAnsi="Trebuchet MS" w:cs="Arial"/>
          <w:sz w:val="20"/>
          <w:szCs w:val="20"/>
        </w:rPr>
        <w:t>e</w:t>
      </w:r>
      <w:r>
        <w:rPr>
          <w:rFonts w:ascii="Trebuchet MS" w:hAnsi="Trebuchet MS" w:cs="Arial"/>
          <w:sz w:val="20"/>
          <w:szCs w:val="20"/>
        </w:rPr>
        <w:t>ducativa</w:t>
      </w:r>
      <w:r w:rsidRPr="0062718F">
        <w:rPr>
          <w:rFonts w:ascii="Trebuchet MS" w:hAnsi="Trebuchet MS" w:cs="Arial"/>
          <w:sz w:val="20"/>
          <w:szCs w:val="20"/>
        </w:rPr>
        <w:t xml:space="preserve"> semipresencial</w:t>
      </w:r>
      <w:r>
        <w:rPr>
          <w:rFonts w:ascii="Trebuchet MS" w:hAnsi="Trebuchet MS" w:cs="Arial"/>
          <w:sz w:val="20"/>
          <w:szCs w:val="20"/>
        </w:rPr>
        <w:t>,</w:t>
      </w:r>
      <w:r w:rsidRPr="0062718F">
        <w:rPr>
          <w:rFonts w:ascii="Trebuchet MS" w:hAnsi="Trebuchet MS" w:cs="Arial"/>
          <w:sz w:val="20"/>
          <w:szCs w:val="20"/>
        </w:rPr>
        <w:t xml:space="preserve"> a distancia </w:t>
      </w:r>
      <w:r>
        <w:rPr>
          <w:rFonts w:ascii="Trebuchet MS" w:hAnsi="Trebuchet MS" w:cs="Arial"/>
          <w:sz w:val="20"/>
          <w:szCs w:val="20"/>
        </w:rPr>
        <w:t xml:space="preserve">en línea </w:t>
      </w:r>
      <w:r w:rsidRPr="0062718F">
        <w:rPr>
          <w:rFonts w:ascii="Trebuchet MS" w:hAnsi="Trebuchet MS" w:cs="Arial"/>
          <w:sz w:val="20"/>
          <w:szCs w:val="20"/>
        </w:rPr>
        <w:t xml:space="preserve">e impulsar </w:t>
      </w:r>
      <w:r>
        <w:rPr>
          <w:rFonts w:ascii="Trebuchet MS" w:hAnsi="Trebuchet MS" w:cs="Arial"/>
          <w:sz w:val="20"/>
          <w:szCs w:val="20"/>
        </w:rPr>
        <w:t>la aplicación</w:t>
      </w:r>
      <w:r w:rsidRPr="0062718F">
        <w:rPr>
          <w:rFonts w:ascii="Trebuchet MS" w:hAnsi="Trebuchet MS" w:cs="Arial"/>
          <w:sz w:val="20"/>
          <w:szCs w:val="20"/>
        </w:rPr>
        <w:t xml:space="preserve"> de </w:t>
      </w:r>
      <w:r>
        <w:rPr>
          <w:rFonts w:ascii="Trebuchet MS" w:hAnsi="Trebuchet MS" w:cs="Arial"/>
          <w:sz w:val="20"/>
          <w:szCs w:val="20"/>
        </w:rPr>
        <w:t xml:space="preserve">las </w:t>
      </w:r>
      <w:r w:rsidRPr="0062718F">
        <w:rPr>
          <w:rFonts w:ascii="Trebuchet MS" w:hAnsi="Trebuchet MS" w:cs="Arial"/>
          <w:sz w:val="20"/>
          <w:szCs w:val="20"/>
        </w:rPr>
        <w:t>T</w:t>
      </w:r>
      <w:r>
        <w:rPr>
          <w:rFonts w:ascii="Trebuchet MS" w:hAnsi="Trebuchet MS" w:cs="Arial"/>
          <w:sz w:val="20"/>
          <w:szCs w:val="20"/>
        </w:rPr>
        <w:t xml:space="preserve">ecnologías de la </w:t>
      </w:r>
      <w:r w:rsidRPr="0062718F">
        <w:rPr>
          <w:rFonts w:ascii="Trebuchet MS" w:hAnsi="Trebuchet MS" w:cs="Arial"/>
          <w:sz w:val="20"/>
          <w:szCs w:val="20"/>
        </w:rPr>
        <w:t>I</w:t>
      </w:r>
      <w:r>
        <w:rPr>
          <w:rFonts w:ascii="Trebuchet MS" w:hAnsi="Trebuchet MS" w:cs="Arial"/>
          <w:sz w:val="20"/>
          <w:szCs w:val="20"/>
        </w:rPr>
        <w:t xml:space="preserve">nformación y de la </w:t>
      </w:r>
      <w:r w:rsidRPr="0062718F">
        <w:rPr>
          <w:rFonts w:ascii="Trebuchet MS" w:hAnsi="Trebuchet MS" w:cs="Arial"/>
          <w:sz w:val="20"/>
          <w:szCs w:val="20"/>
        </w:rPr>
        <w:t>C</w:t>
      </w:r>
      <w:r>
        <w:rPr>
          <w:rFonts w:ascii="Trebuchet MS" w:hAnsi="Trebuchet MS" w:cs="Arial"/>
          <w:sz w:val="20"/>
          <w:szCs w:val="20"/>
        </w:rPr>
        <w:t>omunicación</w:t>
      </w:r>
      <w:r w:rsidRPr="0062718F">
        <w:rPr>
          <w:rFonts w:ascii="Trebuchet MS" w:hAnsi="Trebuchet MS" w:cs="Arial"/>
          <w:sz w:val="20"/>
          <w:szCs w:val="20"/>
        </w:rPr>
        <w:t xml:space="preserve"> en </w:t>
      </w:r>
      <w:r>
        <w:rPr>
          <w:rFonts w:ascii="Trebuchet MS" w:hAnsi="Trebuchet MS" w:cs="Arial"/>
          <w:sz w:val="20"/>
          <w:szCs w:val="20"/>
        </w:rPr>
        <w:t xml:space="preserve">el desarrollo de </w:t>
      </w:r>
      <w:r w:rsidRPr="0062718F">
        <w:rPr>
          <w:rFonts w:ascii="Trebuchet MS" w:hAnsi="Trebuchet MS" w:cs="Arial"/>
          <w:sz w:val="20"/>
          <w:szCs w:val="20"/>
        </w:rPr>
        <w:t>los programas</w:t>
      </w:r>
      <w:r>
        <w:rPr>
          <w:rFonts w:ascii="Trebuchet MS" w:hAnsi="Trebuchet MS" w:cs="Arial"/>
          <w:sz w:val="20"/>
          <w:szCs w:val="20"/>
        </w:rPr>
        <w:t xml:space="preserve"> educativos</w:t>
      </w:r>
      <w:r w:rsidRPr="0062718F">
        <w:rPr>
          <w:rFonts w:ascii="Trebuchet MS" w:hAnsi="Trebuchet MS" w:cs="Arial"/>
          <w:sz w:val="20"/>
          <w:szCs w:val="20"/>
        </w:rPr>
        <w:t xml:space="preserve"> </w:t>
      </w:r>
      <w:r>
        <w:rPr>
          <w:rFonts w:ascii="Trebuchet MS" w:hAnsi="Trebuchet MS" w:cs="Arial"/>
          <w:sz w:val="20"/>
          <w:szCs w:val="20"/>
        </w:rPr>
        <w:t xml:space="preserve">ofertados de manera </w:t>
      </w:r>
      <w:r w:rsidRPr="0062718F">
        <w:rPr>
          <w:rFonts w:ascii="Trebuchet MS" w:hAnsi="Trebuchet MS" w:cs="Arial"/>
          <w:sz w:val="20"/>
          <w:szCs w:val="20"/>
        </w:rPr>
        <w:t>presencial</w:t>
      </w:r>
      <w:r>
        <w:rPr>
          <w:rFonts w:ascii="Trebuchet MS" w:hAnsi="Trebuchet MS" w:cs="Arial"/>
          <w:sz w:val="20"/>
          <w:szCs w:val="20"/>
        </w:rPr>
        <w:t>. Posteriormente, con el impulso de la coyuntura de 2020, su objetivo se c</w:t>
      </w:r>
      <w:r w:rsidRPr="0062718F">
        <w:rPr>
          <w:rFonts w:ascii="Trebuchet MS" w:hAnsi="Trebuchet MS" w:cs="Arial"/>
          <w:sz w:val="20"/>
          <w:szCs w:val="20"/>
        </w:rPr>
        <w:t>onsolid</w:t>
      </w:r>
      <w:r>
        <w:rPr>
          <w:rFonts w:ascii="Trebuchet MS" w:hAnsi="Trebuchet MS" w:cs="Arial"/>
          <w:sz w:val="20"/>
          <w:szCs w:val="20"/>
        </w:rPr>
        <w:t>ó bajo el</w:t>
      </w:r>
      <w:r w:rsidRPr="0062718F">
        <w:rPr>
          <w:rFonts w:ascii="Trebuchet MS" w:hAnsi="Trebuchet MS" w:cs="Arial"/>
          <w:sz w:val="20"/>
          <w:szCs w:val="20"/>
        </w:rPr>
        <w:t xml:space="preserve"> </w:t>
      </w:r>
      <w:proofErr w:type="spellStart"/>
      <w:r w:rsidRPr="00DC796E">
        <w:rPr>
          <w:rFonts w:ascii="Trebuchet MS" w:hAnsi="Trebuchet MS" w:cs="Arial"/>
          <w:sz w:val="20"/>
          <w:szCs w:val="20"/>
        </w:rPr>
        <w:t>SEDigital</w:t>
      </w:r>
      <w:proofErr w:type="spellEnd"/>
      <w:r>
        <w:rPr>
          <w:rFonts w:ascii="Trebuchet MS" w:hAnsi="Trebuchet MS" w:cs="Arial"/>
          <w:sz w:val="20"/>
          <w:szCs w:val="20"/>
        </w:rPr>
        <w:t xml:space="preserve"> para lograr un alcance mayor en la</w:t>
      </w:r>
      <w:r w:rsidRPr="0062718F">
        <w:rPr>
          <w:rFonts w:ascii="Trebuchet MS" w:hAnsi="Trebuchet MS" w:cs="Arial"/>
          <w:sz w:val="20"/>
          <w:szCs w:val="20"/>
        </w:rPr>
        <w:t xml:space="preserve"> innovación educativa digital </w:t>
      </w:r>
      <w:r>
        <w:rPr>
          <w:rFonts w:ascii="Trebuchet MS" w:hAnsi="Trebuchet MS" w:cs="Arial"/>
          <w:sz w:val="20"/>
          <w:szCs w:val="20"/>
        </w:rPr>
        <w:t>dentro de</w:t>
      </w:r>
      <w:r w:rsidRPr="0062718F">
        <w:rPr>
          <w:rFonts w:ascii="Trebuchet MS" w:hAnsi="Trebuchet MS" w:cs="Arial"/>
          <w:sz w:val="20"/>
          <w:szCs w:val="20"/>
        </w:rPr>
        <w:t xml:space="preserve"> la </w:t>
      </w:r>
      <w:r>
        <w:rPr>
          <w:rFonts w:ascii="Trebuchet MS" w:hAnsi="Trebuchet MS" w:cs="Arial"/>
          <w:sz w:val="20"/>
          <w:szCs w:val="20"/>
        </w:rPr>
        <w:t xml:space="preserve">institución. Dicho logro atendiendo compromisos ineludibles como la ampliación de </w:t>
      </w:r>
      <w:r w:rsidRPr="00766A5E">
        <w:rPr>
          <w:rFonts w:ascii="Trebuchet MS" w:hAnsi="Trebuchet MS" w:cs="Arial"/>
          <w:sz w:val="20"/>
          <w:szCs w:val="20"/>
        </w:rPr>
        <w:t xml:space="preserve">la cobertura educativa, </w:t>
      </w:r>
      <w:r>
        <w:rPr>
          <w:rFonts w:ascii="Trebuchet MS" w:hAnsi="Trebuchet MS" w:cs="Arial"/>
          <w:sz w:val="20"/>
          <w:szCs w:val="20"/>
        </w:rPr>
        <w:t xml:space="preserve">la adaptación del proceso enseñanza-aprendizaje y la </w:t>
      </w:r>
      <w:r w:rsidRPr="00766A5E">
        <w:rPr>
          <w:rFonts w:ascii="Trebuchet MS" w:hAnsi="Trebuchet MS" w:cs="Arial"/>
          <w:sz w:val="20"/>
          <w:szCs w:val="20"/>
        </w:rPr>
        <w:t>flexibiliza</w:t>
      </w:r>
      <w:r>
        <w:rPr>
          <w:rFonts w:ascii="Trebuchet MS" w:hAnsi="Trebuchet MS" w:cs="Arial"/>
          <w:sz w:val="20"/>
          <w:szCs w:val="20"/>
        </w:rPr>
        <w:t>ción de</w:t>
      </w:r>
      <w:r w:rsidRPr="00766A5E">
        <w:rPr>
          <w:rFonts w:ascii="Trebuchet MS" w:hAnsi="Trebuchet MS" w:cs="Arial"/>
          <w:sz w:val="20"/>
          <w:szCs w:val="20"/>
        </w:rPr>
        <w:t xml:space="preserve"> l</w:t>
      </w:r>
      <w:r>
        <w:rPr>
          <w:rFonts w:ascii="Trebuchet MS" w:hAnsi="Trebuchet MS" w:cs="Arial"/>
          <w:sz w:val="20"/>
          <w:szCs w:val="20"/>
        </w:rPr>
        <w:t xml:space="preserve">os programas educativos; dando muestra de la responsabilidad universitaria ante los </w:t>
      </w:r>
      <w:r w:rsidRPr="00766A5E">
        <w:rPr>
          <w:rFonts w:ascii="Trebuchet MS" w:hAnsi="Trebuchet MS" w:cs="Arial"/>
          <w:sz w:val="20"/>
          <w:szCs w:val="20"/>
        </w:rPr>
        <w:t>cambios sociales y tecnológicos</w:t>
      </w:r>
      <w:r>
        <w:rPr>
          <w:rFonts w:ascii="Trebuchet MS" w:hAnsi="Trebuchet MS" w:cs="Arial"/>
          <w:sz w:val="20"/>
          <w:szCs w:val="20"/>
        </w:rPr>
        <w:t xml:space="preserve"> y reconociendo la necesidad de integrar estratégicamente a</w:t>
      </w:r>
      <w:r w:rsidRPr="00766A5E">
        <w:rPr>
          <w:rFonts w:ascii="Trebuchet MS" w:hAnsi="Trebuchet MS" w:cs="Arial"/>
          <w:sz w:val="20"/>
          <w:szCs w:val="20"/>
        </w:rPr>
        <w:t xml:space="preserve"> las </w:t>
      </w:r>
      <w:r>
        <w:rPr>
          <w:rFonts w:ascii="Trebuchet MS" w:hAnsi="Trebuchet MS" w:cs="Arial"/>
          <w:sz w:val="20"/>
          <w:szCs w:val="20"/>
        </w:rPr>
        <w:t>T</w:t>
      </w:r>
      <w:r w:rsidRPr="00766A5E">
        <w:rPr>
          <w:rFonts w:ascii="Trebuchet MS" w:hAnsi="Trebuchet MS" w:cs="Arial"/>
          <w:sz w:val="20"/>
          <w:szCs w:val="20"/>
        </w:rPr>
        <w:t xml:space="preserve">ecnologías de la </w:t>
      </w:r>
      <w:r>
        <w:rPr>
          <w:rFonts w:ascii="Trebuchet MS" w:hAnsi="Trebuchet MS" w:cs="Arial"/>
          <w:sz w:val="20"/>
          <w:szCs w:val="20"/>
        </w:rPr>
        <w:t>I</w:t>
      </w:r>
      <w:r w:rsidRPr="00766A5E">
        <w:rPr>
          <w:rFonts w:ascii="Trebuchet MS" w:hAnsi="Trebuchet MS" w:cs="Arial"/>
          <w:sz w:val="20"/>
          <w:szCs w:val="20"/>
        </w:rPr>
        <w:t xml:space="preserve">nformación, </w:t>
      </w:r>
      <w:r>
        <w:rPr>
          <w:rFonts w:ascii="Trebuchet MS" w:hAnsi="Trebuchet MS" w:cs="Arial"/>
          <w:sz w:val="20"/>
          <w:szCs w:val="20"/>
        </w:rPr>
        <w:t>C</w:t>
      </w:r>
      <w:r w:rsidRPr="00766A5E">
        <w:rPr>
          <w:rFonts w:ascii="Trebuchet MS" w:hAnsi="Trebuchet MS" w:cs="Arial"/>
          <w:sz w:val="20"/>
          <w:szCs w:val="20"/>
        </w:rPr>
        <w:t xml:space="preserve">omunicación, </w:t>
      </w:r>
      <w:r>
        <w:rPr>
          <w:rFonts w:ascii="Trebuchet MS" w:hAnsi="Trebuchet MS" w:cs="Arial"/>
          <w:sz w:val="20"/>
          <w:szCs w:val="20"/>
        </w:rPr>
        <w:t>C</w:t>
      </w:r>
      <w:r w:rsidRPr="00766A5E">
        <w:rPr>
          <w:rFonts w:ascii="Trebuchet MS" w:hAnsi="Trebuchet MS" w:cs="Arial"/>
          <w:sz w:val="20"/>
          <w:szCs w:val="20"/>
        </w:rPr>
        <w:t>onocimiento y</w:t>
      </w:r>
      <w:r>
        <w:rPr>
          <w:rFonts w:ascii="Trebuchet MS" w:hAnsi="Trebuchet MS" w:cs="Arial"/>
          <w:sz w:val="20"/>
          <w:szCs w:val="20"/>
        </w:rPr>
        <w:t xml:space="preserve"> A</w:t>
      </w:r>
      <w:r w:rsidRPr="00766A5E">
        <w:rPr>
          <w:rFonts w:ascii="Trebuchet MS" w:hAnsi="Trebuchet MS" w:cs="Arial"/>
          <w:sz w:val="20"/>
          <w:szCs w:val="20"/>
        </w:rPr>
        <w:t xml:space="preserve">prendizaje </w:t>
      </w:r>
      <w:r>
        <w:rPr>
          <w:rFonts w:ascii="Trebuchet MS" w:hAnsi="Trebuchet MS" w:cs="Arial"/>
          <w:sz w:val="20"/>
          <w:szCs w:val="20"/>
        </w:rPr>
        <w:t>D</w:t>
      </w:r>
      <w:r w:rsidRPr="00766A5E">
        <w:rPr>
          <w:rFonts w:ascii="Trebuchet MS" w:hAnsi="Trebuchet MS" w:cs="Arial"/>
          <w:sz w:val="20"/>
          <w:szCs w:val="20"/>
        </w:rPr>
        <w:t xml:space="preserve">igital (TICCAD) </w:t>
      </w:r>
      <w:r>
        <w:rPr>
          <w:rFonts w:ascii="Trebuchet MS" w:hAnsi="Trebuchet MS" w:cs="Arial"/>
          <w:sz w:val="20"/>
          <w:szCs w:val="20"/>
        </w:rPr>
        <w:t>en las funciones esenciales de docencia, investigación, extensión y vinculación. El Nodo Universitario, el Campus Digital y la plataforma de Educación continua son las herramientas principales que actualmente soportan este objetivo.</w:t>
      </w:r>
    </w:p>
    <w:p w14:paraId="33CDA028" w14:textId="77777777" w:rsidR="00C95564"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En recientes años se creó el</w:t>
      </w:r>
      <w:r w:rsidRPr="00FF1771">
        <w:rPr>
          <w:rFonts w:ascii="Trebuchet MS" w:hAnsi="Trebuchet MS" w:cs="Arial"/>
          <w:sz w:val="20"/>
          <w:szCs w:val="20"/>
        </w:rPr>
        <w:t xml:space="preserve"> </w:t>
      </w:r>
      <w:r w:rsidRPr="00DC796E">
        <w:rPr>
          <w:rFonts w:ascii="Trebuchet MS" w:hAnsi="Trebuchet MS" w:cs="Arial"/>
          <w:b/>
          <w:bCs/>
          <w:sz w:val="20"/>
          <w:szCs w:val="20"/>
        </w:rPr>
        <w:t>Ecosistema para la Cultura de Paz, Igualdad de Género y Derechos Humanos de la Universidad de Guanajuato</w:t>
      </w:r>
      <w:r>
        <w:rPr>
          <w:rFonts w:ascii="Trebuchet MS" w:hAnsi="Trebuchet MS" w:cs="Arial"/>
          <w:b/>
          <w:bCs/>
          <w:sz w:val="20"/>
          <w:szCs w:val="20"/>
        </w:rPr>
        <w:t xml:space="preserve">, </w:t>
      </w:r>
      <w:r w:rsidRPr="00DB3AC1">
        <w:rPr>
          <w:rFonts w:ascii="Trebuchet MS" w:hAnsi="Trebuchet MS" w:cs="Arial"/>
          <w:sz w:val="20"/>
          <w:szCs w:val="20"/>
        </w:rPr>
        <w:t>el cual</w:t>
      </w:r>
      <w:r w:rsidRPr="00960BCB">
        <w:rPr>
          <w:rFonts w:ascii="Trebuchet MS" w:hAnsi="Trebuchet MS" w:cs="Arial"/>
          <w:sz w:val="20"/>
          <w:szCs w:val="20"/>
        </w:rPr>
        <w:t xml:space="preserve"> </w:t>
      </w:r>
      <w:r>
        <w:rPr>
          <w:rFonts w:ascii="Trebuchet MS" w:hAnsi="Trebuchet MS" w:cs="Arial"/>
          <w:sz w:val="20"/>
          <w:szCs w:val="20"/>
        </w:rPr>
        <w:t>es</w:t>
      </w:r>
      <w:r w:rsidRPr="00FF1771">
        <w:rPr>
          <w:rFonts w:ascii="Trebuchet MS" w:hAnsi="Trebuchet MS" w:cs="Arial"/>
          <w:sz w:val="20"/>
          <w:szCs w:val="20"/>
        </w:rPr>
        <w:t xml:space="preserve"> un </w:t>
      </w:r>
      <w:r w:rsidRPr="00DC796E">
        <w:rPr>
          <w:rFonts w:ascii="Trebuchet MS" w:hAnsi="Trebuchet MS" w:cs="Arial"/>
          <w:sz w:val="20"/>
          <w:szCs w:val="20"/>
        </w:rPr>
        <w:t>modelo institucional articulador</w:t>
      </w:r>
      <w:r w:rsidRPr="00FF1771">
        <w:rPr>
          <w:rFonts w:ascii="Trebuchet MS" w:hAnsi="Trebuchet MS" w:cs="Arial"/>
          <w:sz w:val="20"/>
          <w:szCs w:val="20"/>
        </w:rPr>
        <w:t xml:space="preserve"> de políticas, programas y unidades universitarias orientadas a la prevención, atención y erradicación de las violencias, así como a la promoción de los derechos humanos y la igualdad de género.</w:t>
      </w:r>
      <w:r>
        <w:rPr>
          <w:rFonts w:ascii="Trebuchet MS" w:hAnsi="Trebuchet MS" w:cs="Arial"/>
          <w:sz w:val="20"/>
          <w:szCs w:val="20"/>
        </w:rPr>
        <w:t xml:space="preserve"> Integrándose por </w:t>
      </w:r>
      <w:r w:rsidRPr="00FF1771">
        <w:rPr>
          <w:rFonts w:ascii="Trebuchet MS" w:hAnsi="Trebuchet MS" w:cs="Arial"/>
          <w:sz w:val="20"/>
          <w:szCs w:val="20"/>
        </w:rPr>
        <w:t xml:space="preserve">instancias </w:t>
      </w:r>
      <w:r>
        <w:rPr>
          <w:rFonts w:ascii="Trebuchet MS" w:hAnsi="Trebuchet MS" w:cs="Arial"/>
          <w:sz w:val="20"/>
          <w:szCs w:val="20"/>
        </w:rPr>
        <w:t>universitarias</w:t>
      </w:r>
      <w:r w:rsidRPr="00FF1771">
        <w:rPr>
          <w:rFonts w:ascii="Trebuchet MS" w:hAnsi="Trebuchet MS" w:cs="Arial"/>
          <w:sz w:val="20"/>
          <w:szCs w:val="20"/>
        </w:rPr>
        <w:t xml:space="preserve"> como el </w:t>
      </w:r>
      <w:r w:rsidRPr="00DC796E">
        <w:rPr>
          <w:rFonts w:ascii="Trebuchet MS" w:hAnsi="Trebuchet MS" w:cs="Arial"/>
          <w:sz w:val="20"/>
          <w:szCs w:val="20"/>
        </w:rPr>
        <w:t>Programa Institucional de Igualdad de Género</w:t>
      </w:r>
      <w:r w:rsidRPr="00FF1771">
        <w:rPr>
          <w:rFonts w:ascii="Trebuchet MS" w:hAnsi="Trebuchet MS" w:cs="Arial"/>
          <w:sz w:val="20"/>
          <w:szCs w:val="20"/>
        </w:rPr>
        <w:t xml:space="preserve">, la </w:t>
      </w:r>
      <w:r w:rsidRPr="00DC796E">
        <w:rPr>
          <w:rFonts w:ascii="Trebuchet MS" w:hAnsi="Trebuchet MS" w:cs="Arial"/>
          <w:sz w:val="20"/>
          <w:szCs w:val="20"/>
        </w:rPr>
        <w:t>Defensoría de los Derechos Humanos en el Entorno Universitario</w:t>
      </w:r>
      <w:r>
        <w:rPr>
          <w:rFonts w:ascii="Trebuchet MS" w:hAnsi="Trebuchet MS" w:cs="Arial"/>
          <w:sz w:val="20"/>
          <w:szCs w:val="20"/>
        </w:rPr>
        <w:t xml:space="preserve"> y</w:t>
      </w:r>
      <w:r w:rsidRPr="00FF1771">
        <w:rPr>
          <w:rFonts w:ascii="Trebuchet MS" w:hAnsi="Trebuchet MS" w:cs="Arial"/>
          <w:sz w:val="20"/>
          <w:szCs w:val="20"/>
        </w:rPr>
        <w:t xml:space="preserve"> la </w:t>
      </w:r>
      <w:r w:rsidRPr="00DC796E">
        <w:rPr>
          <w:rFonts w:ascii="Trebuchet MS" w:hAnsi="Trebuchet MS" w:cs="Arial"/>
          <w:sz w:val="20"/>
          <w:szCs w:val="20"/>
        </w:rPr>
        <w:t>Unidad de Mediación y Conciliación</w:t>
      </w:r>
      <w:r w:rsidRPr="00FF1771">
        <w:rPr>
          <w:rFonts w:ascii="Trebuchet MS" w:hAnsi="Trebuchet MS" w:cs="Arial"/>
          <w:sz w:val="20"/>
          <w:szCs w:val="20"/>
        </w:rPr>
        <w:t xml:space="preserve">, </w:t>
      </w:r>
      <w:r>
        <w:rPr>
          <w:rFonts w:ascii="Trebuchet MS" w:hAnsi="Trebuchet MS" w:cs="Arial"/>
          <w:sz w:val="20"/>
          <w:szCs w:val="20"/>
        </w:rPr>
        <w:t xml:space="preserve">este Ecosistema se apoya en </w:t>
      </w:r>
      <w:r w:rsidRPr="00FF1771">
        <w:rPr>
          <w:rFonts w:ascii="Trebuchet MS" w:hAnsi="Trebuchet MS" w:cs="Arial"/>
          <w:sz w:val="20"/>
          <w:szCs w:val="20"/>
        </w:rPr>
        <w:t>las políticas universitarias en materia de género y no discriminación</w:t>
      </w:r>
      <w:r>
        <w:rPr>
          <w:rFonts w:ascii="Trebuchet MS" w:hAnsi="Trebuchet MS" w:cs="Arial"/>
          <w:sz w:val="20"/>
          <w:szCs w:val="20"/>
        </w:rPr>
        <w:t xml:space="preserve">, representando un mecanismo para garantizar la </w:t>
      </w:r>
      <w:r w:rsidRPr="00FF1771">
        <w:rPr>
          <w:rFonts w:ascii="Trebuchet MS" w:hAnsi="Trebuchet MS" w:cs="Arial"/>
          <w:sz w:val="20"/>
          <w:szCs w:val="20"/>
        </w:rPr>
        <w:t>denuncia</w:t>
      </w:r>
      <w:r>
        <w:rPr>
          <w:rFonts w:ascii="Trebuchet MS" w:hAnsi="Trebuchet MS" w:cs="Arial"/>
          <w:sz w:val="20"/>
          <w:szCs w:val="20"/>
        </w:rPr>
        <w:t xml:space="preserve"> y la atención</w:t>
      </w:r>
      <w:r w:rsidRPr="00FF1771">
        <w:rPr>
          <w:rFonts w:ascii="Trebuchet MS" w:hAnsi="Trebuchet MS" w:cs="Arial"/>
          <w:sz w:val="20"/>
          <w:szCs w:val="20"/>
        </w:rPr>
        <w:t xml:space="preserve"> de la</w:t>
      </w:r>
      <w:r>
        <w:rPr>
          <w:rFonts w:ascii="Trebuchet MS" w:hAnsi="Trebuchet MS" w:cs="Arial"/>
          <w:sz w:val="20"/>
          <w:szCs w:val="20"/>
        </w:rPr>
        <w:t>s</w:t>
      </w:r>
      <w:r w:rsidRPr="00FF1771">
        <w:rPr>
          <w:rFonts w:ascii="Trebuchet MS" w:hAnsi="Trebuchet MS" w:cs="Arial"/>
          <w:sz w:val="20"/>
          <w:szCs w:val="20"/>
        </w:rPr>
        <w:t xml:space="preserve"> violencia</w:t>
      </w:r>
      <w:r>
        <w:rPr>
          <w:rFonts w:ascii="Trebuchet MS" w:hAnsi="Trebuchet MS" w:cs="Arial"/>
          <w:sz w:val="20"/>
          <w:szCs w:val="20"/>
        </w:rPr>
        <w:t>s, principalmente la</w:t>
      </w:r>
      <w:r w:rsidRPr="00FF1771">
        <w:rPr>
          <w:rFonts w:ascii="Trebuchet MS" w:hAnsi="Trebuchet MS" w:cs="Arial"/>
          <w:sz w:val="20"/>
          <w:szCs w:val="20"/>
        </w:rPr>
        <w:t xml:space="preserve"> de género</w:t>
      </w:r>
      <w:r>
        <w:rPr>
          <w:rFonts w:ascii="Trebuchet MS" w:hAnsi="Trebuchet MS" w:cs="Arial"/>
          <w:sz w:val="20"/>
          <w:szCs w:val="20"/>
        </w:rPr>
        <w:t xml:space="preserve">, así como desarrollar </w:t>
      </w:r>
      <w:r w:rsidRPr="00FF1771">
        <w:rPr>
          <w:rFonts w:ascii="Trebuchet MS" w:hAnsi="Trebuchet MS" w:cs="Arial"/>
          <w:sz w:val="20"/>
          <w:szCs w:val="20"/>
        </w:rPr>
        <w:t xml:space="preserve">acciones formativas </w:t>
      </w:r>
      <w:r>
        <w:rPr>
          <w:rFonts w:ascii="Trebuchet MS" w:hAnsi="Trebuchet MS" w:cs="Arial"/>
          <w:sz w:val="20"/>
          <w:szCs w:val="20"/>
        </w:rPr>
        <w:t xml:space="preserve">y de sensibilización, </w:t>
      </w:r>
      <w:r w:rsidRPr="00FF1771">
        <w:rPr>
          <w:rFonts w:ascii="Trebuchet MS" w:hAnsi="Trebuchet MS" w:cs="Arial"/>
          <w:sz w:val="20"/>
          <w:szCs w:val="20"/>
        </w:rPr>
        <w:t>dirigid</w:t>
      </w:r>
      <w:r>
        <w:rPr>
          <w:rFonts w:ascii="Trebuchet MS" w:hAnsi="Trebuchet MS" w:cs="Arial"/>
          <w:sz w:val="20"/>
          <w:szCs w:val="20"/>
        </w:rPr>
        <w:t>a</w:t>
      </w:r>
      <w:r w:rsidRPr="00FF1771">
        <w:rPr>
          <w:rFonts w:ascii="Trebuchet MS" w:hAnsi="Trebuchet MS" w:cs="Arial"/>
          <w:sz w:val="20"/>
          <w:szCs w:val="20"/>
        </w:rPr>
        <w:t>s a la comunidad universitaria</w:t>
      </w:r>
      <w:r>
        <w:rPr>
          <w:rFonts w:ascii="Trebuchet MS" w:hAnsi="Trebuchet MS" w:cs="Arial"/>
          <w:sz w:val="20"/>
          <w:szCs w:val="20"/>
        </w:rPr>
        <w:t>,</w:t>
      </w:r>
      <w:r w:rsidRPr="00FF1771">
        <w:rPr>
          <w:rFonts w:ascii="Trebuchet MS" w:hAnsi="Trebuchet MS" w:cs="Arial"/>
          <w:sz w:val="20"/>
          <w:szCs w:val="20"/>
        </w:rPr>
        <w:t xml:space="preserve"> en </w:t>
      </w:r>
      <w:r>
        <w:rPr>
          <w:rFonts w:ascii="Trebuchet MS" w:hAnsi="Trebuchet MS" w:cs="Arial"/>
          <w:sz w:val="20"/>
          <w:szCs w:val="20"/>
        </w:rPr>
        <w:t xml:space="preserve">materia de </w:t>
      </w:r>
      <w:r w:rsidRPr="00FF1771">
        <w:rPr>
          <w:rFonts w:ascii="Trebuchet MS" w:hAnsi="Trebuchet MS" w:cs="Arial"/>
          <w:sz w:val="20"/>
          <w:szCs w:val="20"/>
        </w:rPr>
        <w:t>igualdad, derechos humanos y</w:t>
      </w:r>
      <w:r>
        <w:rPr>
          <w:rFonts w:ascii="Trebuchet MS" w:hAnsi="Trebuchet MS" w:cs="Arial"/>
          <w:sz w:val="20"/>
          <w:szCs w:val="20"/>
        </w:rPr>
        <w:t>/o</w:t>
      </w:r>
      <w:r w:rsidRPr="00FF1771">
        <w:rPr>
          <w:rFonts w:ascii="Trebuchet MS" w:hAnsi="Trebuchet MS" w:cs="Arial"/>
          <w:sz w:val="20"/>
          <w:szCs w:val="20"/>
        </w:rPr>
        <w:t xml:space="preserve"> cultura de paz. </w:t>
      </w:r>
      <w:r>
        <w:rPr>
          <w:rFonts w:ascii="Trebuchet MS" w:hAnsi="Trebuchet MS" w:cs="Arial"/>
          <w:sz w:val="20"/>
          <w:szCs w:val="20"/>
        </w:rPr>
        <w:t xml:space="preserve">También es el medio institucional para </w:t>
      </w:r>
      <w:r w:rsidRPr="00FF1771">
        <w:rPr>
          <w:rFonts w:ascii="Trebuchet MS" w:hAnsi="Trebuchet MS" w:cs="Arial"/>
          <w:sz w:val="20"/>
          <w:szCs w:val="20"/>
        </w:rPr>
        <w:t>p</w:t>
      </w:r>
      <w:r w:rsidRPr="00DC796E">
        <w:rPr>
          <w:rFonts w:ascii="Trebuchet MS" w:hAnsi="Trebuchet MS" w:cs="Arial"/>
          <w:sz w:val="20"/>
          <w:szCs w:val="20"/>
        </w:rPr>
        <w:t>romover una cultura institucional de paz</w:t>
      </w:r>
      <w:r w:rsidRPr="00FF1771">
        <w:rPr>
          <w:rFonts w:ascii="Trebuchet MS" w:hAnsi="Trebuchet MS" w:cs="Arial"/>
          <w:sz w:val="20"/>
          <w:szCs w:val="20"/>
        </w:rPr>
        <w:t xml:space="preserve"> basada en el diálogo, la mediación, la justicia restaurativa y la inclusión</w:t>
      </w:r>
      <w:r>
        <w:rPr>
          <w:rFonts w:ascii="Trebuchet MS" w:hAnsi="Trebuchet MS" w:cs="Arial"/>
          <w:sz w:val="20"/>
          <w:szCs w:val="20"/>
        </w:rPr>
        <w:t xml:space="preserve">, garantizando </w:t>
      </w:r>
      <w:r w:rsidRPr="00DC796E">
        <w:rPr>
          <w:rFonts w:ascii="Trebuchet MS" w:hAnsi="Trebuchet MS" w:cs="Arial"/>
          <w:sz w:val="20"/>
          <w:szCs w:val="20"/>
        </w:rPr>
        <w:t>el respeto y la protección de los derechos humanos</w:t>
      </w:r>
      <w:r w:rsidRPr="003F1F44">
        <w:rPr>
          <w:rFonts w:ascii="Trebuchet MS" w:hAnsi="Trebuchet MS" w:cs="Arial"/>
          <w:sz w:val="20"/>
          <w:szCs w:val="20"/>
        </w:rPr>
        <w:t xml:space="preserve"> d</w:t>
      </w:r>
      <w:r>
        <w:rPr>
          <w:rFonts w:ascii="Trebuchet MS" w:hAnsi="Trebuchet MS" w:cs="Arial"/>
          <w:sz w:val="20"/>
          <w:szCs w:val="20"/>
        </w:rPr>
        <w:t>el estudiantado</w:t>
      </w:r>
      <w:r w:rsidRPr="003F1F44">
        <w:rPr>
          <w:rFonts w:ascii="Trebuchet MS" w:hAnsi="Trebuchet MS" w:cs="Arial"/>
          <w:sz w:val="20"/>
          <w:szCs w:val="20"/>
        </w:rPr>
        <w:t xml:space="preserve">, </w:t>
      </w:r>
      <w:r>
        <w:rPr>
          <w:rFonts w:ascii="Trebuchet MS" w:hAnsi="Trebuchet MS" w:cs="Arial"/>
          <w:sz w:val="20"/>
          <w:szCs w:val="20"/>
        </w:rPr>
        <w:t xml:space="preserve">de la plantilla docente y del cuerpo administrativo. Asimismo, esta área universitaria posibilita la suma de </w:t>
      </w:r>
      <w:r w:rsidRPr="003F1F44">
        <w:rPr>
          <w:rFonts w:ascii="Trebuchet MS" w:hAnsi="Trebuchet MS" w:cs="Arial"/>
          <w:sz w:val="20"/>
          <w:szCs w:val="20"/>
        </w:rPr>
        <w:t>esfuerzos con instancias gubernamentales</w:t>
      </w:r>
      <w:r>
        <w:rPr>
          <w:rFonts w:ascii="Trebuchet MS" w:hAnsi="Trebuchet MS" w:cs="Arial"/>
          <w:sz w:val="20"/>
          <w:szCs w:val="20"/>
        </w:rPr>
        <w:t>,</w:t>
      </w:r>
      <w:r w:rsidRPr="003F1F44">
        <w:rPr>
          <w:rFonts w:ascii="Trebuchet MS" w:hAnsi="Trebuchet MS" w:cs="Arial"/>
          <w:sz w:val="20"/>
          <w:szCs w:val="20"/>
        </w:rPr>
        <w:t xml:space="preserve"> redes nacionales e internacionales </w:t>
      </w:r>
      <w:r>
        <w:rPr>
          <w:rFonts w:ascii="Trebuchet MS" w:hAnsi="Trebuchet MS" w:cs="Arial"/>
          <w:sz w:val="20"/>
          <w:szCs w:val="20"/>
        </w:rPr>
        <w:t>y entidades</w:t>
      </w:r>
      <w:r w:rsidRPr="003F1F44">
        <w:rPr>
          <w:rFonts w:ascii="Trebuchet MS" w:hAnsi="Trebuchet MS" w:cs="Arial"/>
          <w:sz w:val="20"/>
          <w:szCs w:val="20"/>
        </w:rPr>
        <w:t xml:space="preserve"> especializad</w:t>
      </w:r>
      <w:r>
        <w:rPr>
          <w:rFonts w:ascii="Trebuchet MS" w:hAnsi="Trebuchet MS" w:cs="Arial"/>
          <w:sz w:val="20"/>
          <w:szCs w:val="20"/>
        </w:rPr>
        <w:t>a</w:t>
      </w:r>
      <w:r w:rsidRPr="003F1F44">
        <w:rPr>
          <w:rFonts w:ascii="Trebuchet MS" w:hAnsi="Trebuchet MS" w:cs="Arial"/>
          <w:sz w:val="20"/>
          <w:szCs w:val="20"/>
        </w:rPr>
        <w:t>s en la</w:t>
      </w:r>
      <w:r>
        <w:rPr>
          <w:rFonts w:ascii="Trebuchet MS" w:hAnsi="Trebuchet MS" w:cs="Arial"/>
          <w:sz w:val="20"/>
          <w:szCs w:val="20"/>
        </w:rPr>
        <w:t>s</w:t>
      </w:r>
      <w:r w:rsidRPr="003F1F44">
        <w:rPr>
          <w:rFonts w:ascii="Trebuchet MS" w:hAnsi="Trebuchet MS" w:cs="Arial"/>
          <w:sz w:val="20"/>
          <w:szCs w:val="20"/>
        </w:rPr>
        <w:t xml:space="preserve"> materia</w:t>
      </w:r>
      <w:r>
        <w:rPr>
          <w:rFonts w:ascii="Trebuchet MS" w:hAnsi="Trebuchet MS" w:cs="Arial"/>
          <w:sz w:val="20"/>
          <w:szCs w:val="20"/>
        </w:rPr>
        <w:t xml:space="preserve">s para atender la </w:t>
      </w:r>
      <w:r w:rsidRPr="00FF1771">
        <w:rPr>
          <w:rFonts w:ascii="Trebuchet MS" w:hAnsi="Trebuchet MS" w:cs="Arial"/>
          <w:sz w:val="20"/>
          <w:szCs w:val="20"/>
        </w:rPr>
        <w:t>responsabilidad social</w:t>
      </w:r>
      <w:r>
        <w:rPr>
          <w:rFonts w:ascii="Trebuchet MS" w:hAnsi="Trebuchet MS" w:cs="Arial"/>
          <w:sz w:val="20"/>
          <w:szCs w:val="20"/>
        </w:rPr>
        <w:t xml:space="preserve"> universitaria</w:t>
      </w:r>
      <w:r w:rsidRPr="00FF1771">
        <w:rPr>
          <w:rFonts w:ascii="Trebuchet MS" w:hAnsi="Trebuchet MS" w:cs="Arial"/>
          <w:sz w:val="20"/>
          <w:szCs w:val="20"/>
        </w:rPr>
        <w:t xml:space="preserve"> </w:t>
      </w:r>
      <w:r>
        <w:rPr>
          <w:rFonts w:ascii="Trebuchet MS" w:hAnsi="Trebuchet MS" w:cs="Arial"/>
          <w:sz w:val="20"/>
          <w:szCs w:val="20"/>
        </w:rPr>
        <w:t>en su ejercicio como</w:t>
      </w:r>
      <w:r w:rsidRPr="00FF1771">
        <w:rPr>
          <w:rFonts w:ascii="Trebuchet MS" w:hAnsi="Trebuchet MS" w:cs="Arial"/>
          <w:sz w:val="20"/>
          <w:szCs w:val="20"/>
        </w:rPr>
        <w:t xml:space="preserve"> agente de transformación cultural.</w:t>
      </w:r>
      <w:r>
        <w:rPr>
          <w:rFonts w:ascii="Trebuchet MS" w:hAnsi="Trebuchet MS" w:cs="Arial"/>
          <w:sz w:val="20"/>
          <w:szCs w:val="20"/>
        </w:rPr>
        <w:t xml:space="preserve"> </w:t>
      </w:r>
    </w:p>
    <w:p w14:paraId="7285ECAE" w14:textId="77777777" w:rsidR="00C95564"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 xml:space="preserve">La </w:t>
      </w:r>
      <w:r w:rsidRPr="003F1F44">
        <w:rPr>
          <w:rFonts w:ascii="Trebuchet MS" w:hAnsi="Trebuchet MS" w:cs="Arial"/>
          <w:sz w:val="20"/>
          <w:szCs w:val="20"/>
        </w:rPr>
        <w:t>Universidad de Guanajuato</w:t>
      </w:r>
      <w:r>
        <w:rPr>
          <w:rFonts w:ascii="Trebuchet MS" w:hAnsi="Trebuchet MS" w:cs="Arial"/>
          <w:sz w:val="20"/>
          <w:szCs w:val="20"/>
        </w:rPr>
        <w:t xml:space="preserve">, comprometida con la </w:t>
      </w:r>
      <w:r w:rsidRPr="003F1F44">
        <w:rPr>
          <w:rFonts w:ascii="Trebuchet MS" w:hAnsi="Trebuchet MS" w:cs="Arial"/>
          <w:sz w:val="20"/>
          <w:szCs w:val="20"/>
        </w:rPr>
        <w:t xml:space="preserve">transformación del </w:t>
      </w:r>
      <w:r>
        <w:rPr>
          <w:rFonts w:ascii="Trebuchet MS" w:hAnsi="Trebuchet MS" w:cs="Arial"/>
          <w:sz w:val="20"/>
          <w:szCs w:val="20"/>
        </w:rPr>
        <w:t>sistema</w:t>
      </w:r>
      <w:r w:rsidRPr="003F1F44">
        <w:rPr>
          <w:rFonts w:ascii="Trebuchet MS" w:hAnsi="Trebuchet MS" w:cs="Arial"/>
          <w:sz w:val="20"/>
          <w:szCs w:val="20"/>
        </w:rPr>
        <w:t xml:space="preserve"> educativo y </w:t>
      </w:r>
      <w:r>
        <w:rPr>
          <w:rFonts w:ascii="Trebuchet MS" w:hAnsi="Trebuchet MS" w:cs="Arial"/>
          <w:sz w:val="20"/>
          <w:szCs w:val="20"/>
        </w:rPr>
        <w:t>reconociendo la importancia de la tendencia del aprendizaje a lo largo de la vida</w:t>
      </w:r>
      <w:r w:rsidRPr="003F1F44">
        <w:rPr>
          <w:rFonts w:ascii="Trebuchet MS" w:hAnsi="Trebuchet MS" w:cs="Arial"/>
          <w:sz w:val="20"/>
          <w:szCs w:val="20"/>
        </w:rPr>
        <w:t xml:space="preserve">, </w:t>
      </w:r>
      <w:r>
        <w:rPr>
          <w:rFonts w:ascii="Trebuchet MS" w:hAnsi="Trebuchet MS" w:cs="Arial"/>
          <w:sz w:val="20"/>
          <w:szCs w:val="20"/>
        </w:rPr>
        <w:t xml:space="preserve">se alinea </w:t>
      </w:r>
      <w:r w:rsidRPr="003F1F44">
        <w:rPr>
          <w:rFonts w:ascii="Trebuchet MS" w:hAnsi="Trebuchet MS" w:cs="Arial"/>
          <w:sz w:val="20"/>
          <w:szCs w:val="20"/>
        </w:rPr>
        <w:t xml:space="preserve">con el Modelo Estatal de </w:t>
      </w:r>
      <w:r w:rsidRPr="002A2377">
        <w:rPr>
          <w:rFonts w:ascii="Trebuchet MS" w:hAnsi="Trebuchet MS" w:cs="Arial"/>
          <w:sz w:val="20"/>
          <w:szCs w:val="20"/>
        </w:rPr>
        <w:t>Microcredenciales</w:t>
      </w:r>
      <w:r w:rsidRPr="003F1F44">
        <w:rPr>
          <w:rFonts w:ascii="Trebuchet MS" w:hAnsi="Trebuchet MS" w:cs="Arial"/>
          <w:sz w:val="20"/>
          <w:szCs w:val="20"/>
        </w:rPr>
        <w:t xml:space="preserve"> del Estado de Guanajuato </w:t>
      </w:r>
      <w:r>
        <w:rPr>
          <w:rFonts w:ascii="Trebuchet MS" w:hAnsi="Trebuchet MS" w:cs="Arial"/>
          <w:sz w:val="20"/>
          <w:szCs w:val="20"/>
        </w:rPr>
        <w:t xml:space="preserve">para, con el </w:t>
      </w:r>
      <w:r w:rsidRPr="002B5C4A">
        <w:rPr>
          <w:rFonts w:ascii="Trebuchet MS" w:hAnsi="Trebuchet MS" w:cs="Arial"/>
          <w:sz w:val="20"/>
          <w:szCs w:val="20"/>
        </w:rPr>
        <w:t>respaldo académico</w:t>
      </w:r>
      <w:r>
        <w:rPr>
          <w:rFonts w:ascii="Trebuchet MS" w:hAnsi="Trebuchet MS" w:cs="Arial"/>
          <w:sz w:val="20"/>
          <w:szCs w:val="20"/>
        </w:rPr>
        <w:t xml:space="preserve"> correspondiente, fortalecer la</w:t>
      </w:r>
      <w:r w:rsidRPr="003F1F44">
        <w:rPr>
          <w:rFonts w:ascii="Trebuchet MS" w:hAnsi="Trebuchet MS" w:cs="Arial"/>
          <w:sz w:val="20"/>
          <w:szCs w:val="20"/>
        </w:rPr>
        <w:t xml:space="preserve"> educación digital y multimodal </w:t>
      </w:r>
      <w:r>
        <w:rPr>
          <w:rFonts w:ascii="Trebuchet MS" w:hAnsi="Trebuchet MS" w:cs="Arial"/>
          <w:sz w:val="20"/>
          <w:szCs w:val="20"/>
        </w:rPr>
        <w:t>ofreciendo nuevas herramientas de</w:t>
      </w:r>
      <w:r w:rsidRPr="002B5C4A">
        <w:rPr>
          <w:rFonts w:ascii="Trebuchet MS" w:hAnsi="Trebuchet MS" w:cs="Arial"/>
          <w:sz w:val="20"/>
          <w:szCs w:val="20"/>
        </w:rPr>
        <w:t xml:space="preserve"> formación flexible</w:t>
      </w:r>
      <w:r>
        <w:rPr>
          <w:rFonts w:ascii="Trebuchet MS" w:hAnsi="Trebuchet MS" w:cs="Arial"/>
          <w:sz w:val="20"/>
          <w:szCs w:val="20"/>
        </w:rPr>
        <w:t xml:space="preserve"> que posibilite a todas las personas su </w:t>
      </w:r>
      <w:r w:rsidRPr="002B5C4A">
        <w:rPr>
          <w:rFonts w:ascii="Trebuchet MS" w:hAnsi="Trebuchet MS" w:cs="Arial"/>
          <w:sz w:val="20"/>
          <w:szCs w:val="20"/>
        </w:rPr>
        <w:t>certifica</w:t>
      </w:r>
      <w:r>
        <w:rPr>
          <w:rFonts w:ascii="Trebuchet MS" w:hAnsi="Trebuchet MS" w:cs="Arial"/>
          <w:sz w:val="20"/>
          <w:szCs w:val="20"/>
        </w:rPr>
        <w:t>ción en</w:t>
      </w:r>
      <w:r w:rsidRPr="002B5C4A">
        <w:rPr>
          <w:rFonts w:ascii="Trebuchet MS" w:hAnsi="Trebuchet MS" w:cs="Arial"/>
          <w:sz w:val="20"/>
          <w:szCs w:val="20"/>
        </w:rPr>
        <w:t xml:space="preserve"> competencias específicas adquiridas en procesos formativos breves o mediante experiencias previas</w:t>
      </w:r>
      <w:r>
        <w:rPr>
          <w:rFonts w:ascii="Trebuchet MS" w:hAnsi="Trebuchet MS" w:cs="Arial"/>
          <w:sz w:val="20"/>
          <w:szCs w:val="20"/>
        </w:rPr>
        <w:t>. A su vez</w:t>
      </w:r>
      <w:r w:rsidRPr="002B5C4A">
        <w:rPr>
          <w:rFonts w:ascii="Trebuchet MS" w:hAnsi="Trebuchet MS" w:cs="Arial"/>
          <w:sz w:val="20"/>
          <w:szCs w:val="20"/>
        </w:rPr>
        <w:t>,</w:t>
      </w:r>
      <w:r>
        <w:rPr>
          <w:rFonts w:ascii="Trebuchet MS" w:hAnsi="Trebuchet MS" w:cs="Arial"/>
          <w:sz w:val="20"/>
          <w:szCs w:val="20"/>
        </w:rPr>
        <w:t xml:space="preserve"> esta nueva instrumentación mejora la condición de empleabilidad, </w:t>
      </w:r>
      <w:r>
        <w:rPr>
          <w:rFonts w:ascii="Trebuchet MS" w:hAnsi="Trebuchet MS" w:cs="Arial"/>
          <w:sz w:val="20"/>
          <w:szCs w:val="20"/>
        </w:rPr>
        <w:lastRenderedPageBreak/>
        <w:t xml:space="preserve">tanto de los egresados de la institución como de cualquier otra persona interesada en complementar su formación profesional, tradicional y específica; lo anterior al avalarles los conocimientos y el manejo de las habilidades demandadas en el mercado laboral actual, destacando el </w:t>
      </w:r>
      <w:r w:rsidRPr="00BD5F0F">
        <w:rPr>
          <w:rFonts w:ascii="Trebuchet MS" w:hAnsi="Trebuchet MS" w:cs="Arial"/>
          <w:sz w:val="20"/>
          <w:szCs w:val="20"/>
        </w:rPr>
        <w:t xml:space="preserve">liderazgo, </w:t>
      </w:r>
      <w:r>
        <w:rPr>
          <w:rFonts w:ascii="Trebuchet MS" w:hAnsi="Trebuchet MS" w:cs="Arial"/>
          <w:sz w:val="20"/>
          <w:szCs w:val="20"/>
        </w:rPr>
        <w:t xml:space="preserve">la </w:t>
      </w:r>
      <w:r w:rsidRPr="00BD5F0F">
        <w:rPr>
          <w:rFonts w:ascii="Trebuchet MS" w:hAnsi="Trebuchet MS" w:cs="Arial"/>
          <w:sz w:val="20"/>
          <w:szCs w:val="20"/>
        </w:rPr>
        <w:t xml:space="preserve">ciencia de datos, </w:t>
      </w:r>
      <w:r>
        <w:rPr>
          <w:rFonts w:ascii="Trebuchet MS" w:hAnsi="Trebuchet MS" w:cs="Arial"/>
          <w:sz w:val="20"/>
          <w:szCs w:val="20"/>
        </w:rPr>
        <w:t xml:space="preserve">la </w:t>
      </w:r>
      <w:r w:rsidRPr="00BD5F0F">
        <w:rPr>
          <w:rFonts w:ascii="Trebuchet MS" w:hAnsi="Trebuchet MS" w:cs="Arial"/>
          <w:sz w:val="20"/>
          <w:szCs w:val="20"/>
        </w:rPr>
        <w:t xml:space="preserve">inteligencia artificial, </w:t>
      </w:r>
      <w:r>
        <w:rPr>
          <w:rFonts w:ascii="Trebuchet MS" w:hAnsi="Trebuchet MS" w:cs="Arial"/>
          <w:sz w:val="20"/>
          <w:szCs w:val="20"/>
        </w:rPr>
        <w:t xml:space="preserve">la </w:t>
      </w:r>
      <w:r w:rsidRPr="00BD5F0F">
        <w:rPr>
          <w:rFonts w:ascii="Trebuchet MS" w:hAnsi="Trebuchet MS" w:cs="Arial"/>
          <w:sz w:val="20"/>
          <w:szCs w:val="20"/>
        </w:rPr>
        <w:t>gestión de proyecto</w:t>
      </w:r>
      <w:r>
        <w:rPr>
          <w:rFonts w:ascii="Trebuchet MS" w:hAnsi="Trebuchet MS" w:cs="Arial"/>
          <w:sz w:val="20"/>
          <w:szCs w:val="20"/>
        </w:rPr>
        <w:t>s, la interculturalidad, los derechos humanos, la igualdad de género y la cultura de paz. E</w:t>
      </w:r>
      <w:r w:rsidRPr="00960BCB">
        <w:rPr>
          <w:rFonts w:ascii="Trebuchet MS" w:hAnsi="Trebuchet MS" w:cs="Arial"/>
          <w:sz w:val="20"/>
          <w:szCs w:val="20"/>
        </w:rPr>
        <w:t>n enero de 2026,</w:t>
      </w:r>
      <w:r>
        <w:rPr>
          <w:rFonts w:ascii="Trebuchet MS" w:hAnsi="Trebuchet MS" w:cs="Arial"/>
          <w:sz w:val="20"/>
          <w:szCs w:val="20"/>
        </w:rPr>
        <w:t xml:space="preserve"> la Universidad de Guanajuato formalizó el</w:t>
      </w:r>
      <w:r w:rsidRPr="00960BCB">
        <w:rPr>
          <w:rFonts w:ascii="Trebuchet MS" w:hAnsi="Trebuchet MS" w:cs="Arial"/>
          <w:sz w:val="20"/>
          <w:szCs w:val="20"/>
        </w:rPr>
        <w:t xml:space="preserve"> lanzamiento de las </w:t>
      </w:r>
      <w:r>
        <w:rPr>
          <w:rFonts w:ascii="Trebuchet MS" w:hAnsi="Trebuchet MS" w:cs="Arial"/>
          <w:sz w:val="20"/>
          <w:szCs w:val="20"/>
        </w:rPr>
        <w:t>“</w:t>
      </w:r>
      <w:r w:rsidRPr="006D2104">
        <w:rPr>
          <w:rFonts w:ascii="Trebuchet MS" w:hAnsi="Trebuchet MS" w:cs="Arial"/>
          <w:b/>
          <w:bCs/>
          <w:sz w:val="20"/>
          <w:szCs w:val="20"/>
        </w:rPr>
        <w:t>Microcredenciales UG</w:t>
      </w:r>
      <w:r>
        <w:rPr>
          <w:rFonts w:ascii="Trebuchet MS" w:hAnsi="Trebuchet MS" w:cs="Arial"/>
          <w:sz w:val="20"/>
          <w:szCs w:val="20"/>
        </w:rPr>
        <w:t xml:space="preserve">”, ofreciendo en su portal institucional las 10 microcredenciales siguientes: </w:t>
      </w:r>
      <w:r w:rsidRPr="00960BCB">
        <w:rPr>
          <w:rFonts w:ascii="Trebuchet MS" w:hAnsi="Trebuchet MS" w:cs="Arial"/>
          <w:sz w:val="20"/>
          <w:szCs w:val="20"/>
        </w:rPr>
        <w:t>Gestión de Proyectos</w:t>
      </w:r>
      <w:r>
        <w:rPr>
          <w:rFonts w:ascii="Trebuchet MS" w:hAnsi="Trebuchet MS" w:cs="Arial"/>
          <w:sz w:val="20"/>
          <w:szCs w:val="20"/>
        </w:rPr>
        <w:t>;</w:t>
      </w:r>
      <w:r w:rsidRPr="00960BCB">
        <w:rPr>
          <w:rFonts w:ascii="Trebuchet MS" w:hAnsi="Trebuchet MS" w:cs="Arial"/>
          <w:sz w:val="20"/>
          <w:szCs w:val="20"/>
        </w:rPr>
        <w:t xml:space="preserve"> Introducción a la Interculturalidad</w:t>
      </w:r>
      <w:r>
        <w:rPr>
          <w:rFonts w:ascii="Trebuchet MS" w:hAnsi="Trebuchet MS" w:cs="Arial"/>
          <w:sz w:val="20"/>
          <w:szCs w:val="20"/>
        </w:rPr>
        <w:t xml:space="preserve">; </w:t>
      </w:r>
      <w:r w:rsidRPr="00960BCB">
        <w:rPr>
          <w:rFonts w:ascii="Trebuchet MS" w:hAnsi="Trebuchet MS" w:cs="Arial"/>
          <w:sz w:val="20"/>
          <w:szCs w:val="20"/>
        </w:rPr>
        <w:t>Habilidades Clave para tu Primer Empleo</w:t>
      </w:r>
      <w:r>
        <w:rPr>
          <w:rFonts w:ascii="Trebuchet MS" w:hAnsi="Trebuchet MS" w:cs="Arial"/>
          <w:sz w:val="20"/>
          <w:szCs w:val="20"/>
        </w:rPr>
        <w:t xml:space="preserve">; </w:t>
      </w:r>
      <w:r w:rsidRPr="00960BCB">
        <w:rPr>
          <w:rFonts w:ascii="Trebuchet MS" w:hAnsi="Trebuchet MS" w:cs="Arial"/>
          <w:sz w:val="20"/>
          <w:szCs w:val="20"/>
        </w:rPr>
        <w:t>Destrezas de Gestión y Liderazgo</w:t>
      </w:r>
      <w:r>
        <w:rPr>
          <w:rFonts w:ascii="Trebuchet MS" w:hAnsi="Trebuchet MS" w:cs="Arial"/>
          <w:sz w:val="20"/>
          <w:szCs w:val="20"/>
        </w:rPr>
        <w:t>;</w:t>
      </w:r>
      <w:r w:rsidRPr="00960BCB">
        <w:rPr>
          <w:rFonts w:ascii="Trebuchet MS" w:hAnsi="Trebuchet MS" w:cs="Arial"/>
          <w:sz w:val="20"/>
          <w:szCs w:val="20"/>
        </w:rPr>
        <w:t xml:space="preserve"> Derechos Humanos, Género y Cultura de Paz</w:t>
      </w:r>
      <w:r>
        <w:rPr>
          <w:rFonts w:ascii="Trebuchet MS" w:hAnsi="Trebuchet MS" w:cs="Arial"/>
          <w:sz w:val="20"/>
          <w:szCs w:val="20"/>
        </w:rPr>
        <w:t>;</w:t>
      </w:r>
      <w:r w:rsidRPr="00960BCB">
        <w:rPr>
          <w:rFonts w:ascii="Trebuchet MS" w:hAnsi="Trebuchet MS" w:cs="Arial"/>
          <w:sz w:val="20"/>
          <w:szCs w:val="20"/>
        </w:rPr>
        <w:t xml:space="preserve"> Bases Prácticas para la Educación Digital</w:t>
      </w:r>
      <w:r>
        <w:rPr>
          <w:rFonts w:ascii="Trebuchet MS" w:hAnsi="Trebuchet MS" w:cs="Arial"/>
          <w:sz w:val="20"/>
          <w:szCs w:val="20"/>
        </w:rPr>
        <w:t xml:space="preserve">; </w:t>
      </w:r>
      <w:r w:rsidRPr="00960BCB">
        <w:rPr>
          <w:rFonts w:ascii="Trebuchet MS" w:hAnsi="Trebuchet MS" w:cs="Arial"/>
          <w:sz w:val="20"/>
          <w:szCs w:val="20"/>
        </w:rPr>
        <w:t>Inteligencia Artificial para la Docencia</w:t>
      </w:r>
      <w:r>
        <w:rPr>
          <w:rFonts w:ascii="Trebuchet MS" w:hAnsi="Trebuchet MS" w:cs="Arial"/>
          <w:sz w:val="20"/>
          <w:szCs w:val="20"/>
        </w:rPr>
        <w:t xml:space="preserve">; </w:t>
      </w:r>
      <w:r w:rsidRPr="00960BCB">
        <w:rPr>
          <w:rFonts w:ascii="Trebuchet MS" w:hAnsi="Trebuchet MS" w:cs="Arial"/>
          <w:sz w:val="20"/>
          <w:szCs w:val="20"/>
        </w:rPr>
        <w:t>Introducción a Python para Ciencia de Datos</w:t>
      </w:r>
      <w:r>
        <w:rPr>
          <w:rFonts w:ascii="Trebuchet MS" w:hAnsi="Trebuchet MS" w:cs="Arial"/>
          <w:sz w:val="20"/>
          <w:szCs w:val="20"/>
        </w:rPr>
        <w:t>;</w:t>
      </w:r>
      <w:r w:rsidRPr="00960BCB">
        <w:rPr>
          <w:rFonts w:ascii="Trebuchet MS" w:hAnsi="Trebuchet MS" w:cs="Arial"/>
          <w:sz w:val="20"/>
          <w:szCs w:val="20"/>
        </w:rPr>
        <w:t xml:space="preserve"> </w:t>
      </w:r>
      <w:proofErr w:type="spellStart"/>
      <w:r w:rsidRPr="00960BCB">
        <w:rPr>
          <w:rFonts w:ascii="Trebuchet MS" w:hAnsi="Trebuchet MS" w:cs="Arial"/>
          <w:sz w:val="20"/>
          <w:szCs w:val="20"/>
        </w:rPr>
        <w:t>Recurtido</w:t>
      </w:r>
      <w:proofErr w:type="spellEnd"/>
      <w:r w:rsidRPr="00960BCB">
        <w:rPr>
          <w:rFonts w:ascii="Trebuchet MS" w:hAnsi="Trebuchet MS" w:cs="Arial"/>
          <w:sz w:val="20"/>
          <w:szCs w:val="20"/>
        </w:rPr>
        <w:t>, Teñido y Engrase de Cueros</w:t>
      </w:r>
      <w:r>
        <w:rPr>
          <w:rFonts w:ascii="Trebuchet MS" w:hAnsi="Trebuchet MS" w:cs="Arial"/>
          <w:sz w:val="20"/>
          <w:szCs w:val="20"/>
        </w:rPr>
        <w:t>, y;</w:t>
      </w:r>
      <w:r w:rsidRPr="00960BCB">
        <w:rPr>
          <w:rFonts w:ascii="Trebuchet MS" w:hAnsi="Trebuchet MS" w:cs="Arial"/>
          <w:sz w:val="20"/>
          <w:szCs w:val="20"/>
        </w:rPr>
        <w:t xml:space="preserve"> Diseño y Aplicación de Estrategias Digitales en Entornos Educativos</w:t>
      </w:r>
      <w:r>
        <w:rPr>
          <w:rFonts w:ascii="Trebuchet MS" w:hAnsi="Trebuchet MS" w:cs="Arial"/>
          <w:sz w:val="20"/>
          <w:szCs w:val="20"/>
        </w:rPr>
        <w:t>.</w:t>
      </w:r>
    </w:p>
    <w:p w14:paraId="3C06F01E" w14:textId="16D5BA5C" w:rsidR="00BF5046" w:rsidRPr="00BF5046"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L</w:t>
      </w:r>
      <w:r w:rsidRPr="00621F1E">
        <w:rPr>
          <w:rFonts w:ascii="Trebuchet MS" w:hAnsi="Trebuchet MS" w:cs="Arial"/>
          <w:sz w:val="20"/>
          <w:szCs w:val="20"/>
        </w:rPr>
        <w:t>a UG</w:t>
      </w:r>
      <w:r>
        <w:rPr>
          <w:rFonts w:ascii="Trebuchet MS" w:hAnsi="Trebuchet MS" w:cs="Arial"/>
          <w:sz w:val="20"/>
          <w:szCs w:val="20"/>
        </w:rPr>
        <w:t>,</w:t>
      </w:r>
      <w:r w:rsidRPr="00621F1E">
        <w:rPr>
          <w:rFonts w:ascii="Trebuchet MS" w:hAnsi="Trebuchet MS" w:cs="Arial"/>
          <w:sz w:val="20"/>
          <w:szCs w:val="20"/>
        </w:rPr>
        <w:t xml:space="preserve"> </w:t>
      </w:r>
      <w:r>
        <w:rPr>
          <w:rFonts w:ascii="Trebuchet MS" w:hAnsi="Trebuchet MS" w:cs="Arial"/>
          <w:sz w:val="20"/>
          <w:szCs w:val="20"/>
        </w:rPr>
        <w:t xml:space="preserve">comprometida con la contribución a los Objetivos del Desarrollo Sostenibles, establecidos en la Agenda 2030 adoptada por la ONU, </w:t>
      </w:r>
      <w:r w:rsidRPr="00621F1E">
        <w:rPr>
          <w:rFonts w:ascii="Trebuchet MS" w:hAnsi="Trebuchet MS" w:cs="Arial"/>
          <w:sz w:val="20"/>
          <w:szCs w:val="20"/>
        </w:rPr>
        <w:t>implementó una estrategia transversal de sustentabilidad, integrada a sus políticas institucionales, que hoy genera resultados medibles y reconocidos, particularmente los objetivos 6 (agua limpia), 7 (energía sostenible), 12 (consumo responsable)</w:t>
      </w:r>
      <w:r>
        <w:rPr>
          <w:rFonts w:ascii="Trebuchet MS" w:hAnsi="Trebuchet MS" w:cs="Arial"/>
          <w:sz w:val="20"/>
          <w:szCs w:val="20"/>
        </w:rPr>
        <w:t>,</w:t>
      </w:r>
      <w:r w:rsidRPr="00621F1E">
        <w:rPr>
          <w:rFonts w:ascii="Trebuchet MS" w:hAnsi="Trebuchet MS" w:cs="Arial"/>
          <w:sz w:val="20"/>
          <w:szCs w:val="20"/>
        </w:rPr>
        <w:t xml:space="preserve"> 13 (acción por el clima)</w:t>
      </w:r>
      <w:r>
        <w:rPr>
          <w:rFonts w:ascii="Trebuchet MS" w:hAnsi="Trebuchet MS" w:cs="Arial"/>
          <w:sz w:val="20"/>
          <w:szCs w:val="20"/>
        </w:rPr>
        <w:t xml:space="preserve"> y 17 (alianzas para lograr objetivos), entre otros</w:t>
      </w:r>
      <w:r w:rsidR="00BF5046" w:rsidRPr="00BF5046">
        <w:rPr>
          <w:rFonts w:ascii="Trebuchet MS" w:hAnsi="Trebuchet MS" w:cs="Arial"/>
          <w:sz w:val="20"/>
          <w:szCs w:val="20"/>
        </w:rPr>
        <w:t>.</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89BCA40" w14:textId="77777777" w:rsidR="001A65D3" w:rsidRDefault="001A65D3"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bookmarkStart w:id="2" w:name="_Toc161472868"/>
    </w:p>
    <w:p w14:paraId="6149A11D" w14:textId="2E65F604" w:rsidR="00BF5046" w:rsidRPr="001A65D3"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r w:rsidRPr="001A65D3">
        <w:rPr>
          <w:rFonts w:ascii="Trebuchet MS" w:eastAsia="Calibri" w:hAnsi="Trebuchet MS" w:cs="Arial"/>
          <w:sz w:val="20"/>
          <w:szCs w:val="20"/>
          <w:lang w:eastAsia="en-US"/>
        </w:rPr>
        <w:t>La Universidad de Guanajuato obtiene sus recursos financieros principalmente de las siguientes fuentes de financiamiento:</w:t>
      </w:r>
    </w:p>
    <w:p w14:paraId="60B6C0E8" w14:textId="77777777" w:rsidR="00BF5046" w:rsidRDefault="00BF5046" w:rsidP="00BF5046">
      <w:pPr>
        <w:pStyle w:val="NormalWeb"/>
        <w:shd w:val="clear" w:color="auto" w:fill="FFFFFF"/>
        <w:spacing w:before="0" w:beforeAutospacing="0" w:after="0" w:afterAutospacing="0"/>
        <w:jc w:val="both"/>
        <w:rPr>
          <w:rFonts w:ascii="Fira Sans" w:hAnsi="Fira Sans"/>
          <w:sz w:val="27"/>
          <w:szCs w:val="27"/>
        </w:rPr>
      </w:pPr>
      <w:r>
        <w:rPr>
          <w:color w:val="000000"/>
        </w:rPr>
        <w:t> </w:t>
      </w:r>
    </w:p>
    <w:p w14:paraId="5E136948" w14:textId="77777777" w:rsidR="00BF5046" w:rsidRDefault="00BF5046" w:rsidP="00BF5046">
      <w:pPr>
        <w:numPr>
          <w:ilvl w:val="0"/>
          <w:numId w:val="10"/>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49BD3A3C" w14:textId="77777777" w:rsidR="001A65D3" w:rsidRPr="00BF5046" w:rsidRDefault="001A65D3" w:rsidP="001A65D3">
      <w:pPr>
        <w:shd w:val="clear" w:color="auto" w:fill="FFFFFF"/>
        <w:spacing w:after="0" w:line="240" w:lineRule="auto"/>
        <w:ind w:left="1440"/>
        <w:jc w:val="both"/>
        <w:rPr>
          <w:rFonts w:ascii="Trebuchet MS" w:hAnsi="Trebuchet MS" w:cs="Arial"/>
          <w:sz w:val="20"/>
          <w:szCs w:val="20"/>
        </w:rPr>
      </w:pPr>
    </w:p>
    <w:p w14:paraId="29BAE9AA"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Ordinario: Constituido por aportaciones ordinarias de los gobiernos federal y estatal, destinadas a la operación diaria de la Universidad.</w:t>
      </w:r>
    </w:p>
    <w:p w14:paraId="02A2F7ED"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10DF86B"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Rendimientos Financieros de Subsidios: Se reflejan en este apartado, los rendimientos financieros de las cuentas bancarias específicas de los subsidios federales y estatales, tanto ordinarios como extraordinarios.</w:t>
      </w:r>
    </w:p>
    <w:p w14:paraId="6604A846"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29FFE3C5" w14:textId="77777777" w:rsidR="00BF5046" w:rsidRPr="00BF5046" w:rsidRDefault="00BF5046" w:rsidP="00BF5046">
      <w:pPr>
        <w:numPr>
          <w:ilvl w:val="0"/>
          <w:numId w:val="12"/>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Ingresos generados por la institución. - Los ingresos generados por la Universidad de Guanajuato, se clasifican en:</w:t>
      </w:r>
    </w:p>
    <w:p w14:paraId="58D1B895"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0A318EE"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0C000C0D"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78DAFAEE" w14:textId="3541B95A"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3D96840" w14:textId="25407A6E" w:rsidR="00BF5046" w:rsidRPr="00BF5046" w:rsidRDefault="00BF5046" w:rsidP="00BF5046">
      <w:pPr>
        <w:numPr>
          <w:ilvl w:val="0"/>
          <w:numId w:val="14"/>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 xml:space="preserve">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w:t>
      </w:r>
      <w:r w:rsidRPr="00D268CB">
        <w:rPr>
          <w:rFonts w:ascii="Trebuchet MS" w:hAnsi="Trebuchet MS" w:cs="Arial"/>
          <w:sz w:val="20"/>
          <w:szCs w:val="20"/>
        </w:rPr>
        <w:t xml:space="preserve">del </w:t>
      </w:r>
      <w:r w:rsidR="002E7187" w:rsidRPr="00D268CB">
        <w:rPr>
          <w:rFonts w:ascii="Trebuchet MS" w:hAnsi="Trebuchet MS" w:cs="Arial"/>
          <w:sz w:val="20"/>
          <w:szCs w:val="20"/>
        </w:rPr>
        <w:t>Secretaría de Ciencia, Humanidades, Tecnología e Innovación (SECIHTI)</w:t>
      </w:r>
      <w:r w:rsidRPr="00D268CB">
        <w:rPr>
          <w:rFonts w:ascii="Trebuchet MS" w:hAnsi="Trebuchet MS" w:cs="Arial"/>
          <w:sz w:val="20"/>
          <w:szCs w:val="20"/>
        </w:rPr>
        <w:t>, Instituto de Innovación</w:t>
      </w:r>
      <w:r w:rsidRPr="00BF5046">
        <w:rPr>
          <w:rFonts w:ascii="Trebuchet MS" w:hAnsi="Trebuchet MS" w:cs="Arial"/>
          <w:sz w:val="20"/>
          <w:szCs w:val="20"/>
        </w:rPr>
        <w:t>, Ciencia y Emprendimiento para la Competitividad para el Estado de Guanajuato (IDEA Guanajuato) y otras dependencias federales o estatales, para la realización de proyectos, eventos y otras actividades en el marco de los respectivos convenios.</w:t>
      </w:r>
    </w:p>
    <w:p w14:paraId="46810AC9"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6921F780" w14:textId="5F8788F3" w:rsidR="00D75307" w:rsidRDefault="00BF5046" w:rsidP="00BF5046">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9C59FB" w14:textId="77777777" w:rsidR="00BF5046" w:rsidRPr="00BF5046" w:rsidRDefault="00BF5046" w:rsidP="00BF5046">
      <w:pPr>
        <w:tabs>
          <w:tab w:val="left" w:leader="underscore" w:pos="9639"/>
        </w:tabs>
        <w:spacing w:after="0" w:line="240" w:lineRule="auto"/>
        <w:jc w:val="both"/>
        <w:rPr>
          <w:rFonts w:ascii="Trebuchet MS" w:hAnsi="Trebuchet MS"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B9DC9F"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3B51B2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483BAF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92C4FF" w14:textId="77777777" w:rsidR="00D75307" w:rsidRDefault="00D75307" w:rsidP="00D75307">
      <w:pPr>
        <w:rPr>
          <w:rFonts w:ascii="Trebuchet MS" w:hAnsi="Trebuchet MS" w:cs="Arial"/>
          <w:sz w:val="20"/>
          <w:szCs w:val="20"/>
        </w:rPr>
      </w:pPr>
    </w:p>
    <w:p w14:paraId="3F5E1EC5"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 xml:space="preserve">Las funciones esenciales de la Universidad se invocan en el artículo 5º de su Ley Orgánica y atienden a lo siguiente: </w:t>
      </w:r>
    </w:p>
    <w:p w14:paraId="623EFD1B"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educación en los niveles que ella determine.</w:t>
      </w:r>
    </w:p>
    <w:p w14:paraId="2580EF78" w14:textId="56DD03D4" w:rsidR="001A65D3"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77E8C9C8" w14:textId="76FC31CE" w:rsidR="001A65D3" w:rsidRDefault="001A65D3">
      <w:pPr>
        <w:spacing w:after="0" w:line="240" w:lineRule="auto"/>
        <w:rPr>
          <w:rFonts w:ascii="Trebuchet MS" w:hAnsi="Trebuchet MS" w:cs="Arial"/>
          <w:sz w:val="20"/>
          <w:szCs w:val="20"/>
        </w:rPr>
      </w:pPr>
    </w:p>
    <w:p w14:paraId="5E6F8F55"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creación, promoción y conservación de las expresiones del arte y la cultura; la preservación, la discusión y el acrecentamiento de los valores, así como la extensión a la sociedad de los beneficios de la ciencia y la tecnología.</w:t>
      </w:r>
    </w:p>
    <w:p w14:paraId="6601D1DD" w14:textId="77777777" w:rsidR="00BF5046" w:rsidRDefault="00BF5046" w:rsidP="00CB41C4">
      <w:pPr>
        <w:tabs>
          <w:tab w:val="left" w:leader="underscore" w:pos="9639"/>
        </w:tabs>
        <w:spacing w:after="0" w:line="240" w:lineRule="auto"/>
        <w:jc w:val="both"/>
        <w:rPr>
          <w:rFonts w:cs="Calibri"/>
          <w:b/>
        </w:rPr>
      </w:pPr>
    </w:p>
    <w:p w14:paraId="2D21CE61" w14:textId="459FEE6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BF5046">
        <w:rPr>
          <w:rFonts w:cs="Calibri"/>
        </w:rPr>
        <w:t>.</w:t>
      </w:r>
    </w:p>
    <w:p w14:paraId="618477BC" w14:textId="77777777" w:rsidR="00BF5046" w:rsidRPr="00E74967" w:rsidRDefault="00BF5046" w:rsidP="00CB41C4">
      <w:pPr>
        <w:tabs>
          <w:tab w:val="left" w:leader="underscore" w:pos="9639"/>
        </w:tabs>
        <w:spacing w:after="0" w:line="240" w:lineRule="auto"/>
        <w:jc w:val="both"/>
        <w:rPr>
          <w:rFonts w:cs="Calibri"/>
        </w:rPr>
      </w:pPr>
    </w:p>
    <w:p w14:paraId="719E7AC8" w14:textId="3CD36D95" w:rsidR="00D75307" w:rsidRDefault="00BF5046" w:rsidP="00D75307">
      <w:pPr>
        <w:spacing w:after="0" w:line="240" w:lineRule="auto"/>
        <w:jc w:val="both"/>
        <w:rPr>
          <w:rFonts w:ascii="Trebuchet MS" w:hAnsi="Trebuchet MS" w:cs="Arial"/>
          <w:sz w:val="20"/>
          <w:szCs w:val="20"/>
        </w:rPr>
      </w:pPr>
      <w:r w:rsidRPr="00BF5046">
        <w:rPr>
          <w:rFonts w:ascii="Trebuchet MS" w:hAnsi="Trebuchet MS" w:cs="Arial"/>
          <w:sz w:val="20"/>
          <w:szCs w:val="20"/>
        </w:rPr>
        <w:t xml:space="preserve">La información que se incluye en estas notas corresponde a los ejercicios que concluyeron el 31 de </w:t>
      </w:r>
      <w:r w:rsidR="00270065">
        <w:rPr>
          <w:rFonts w:ascii="Trebuchet MS" w:hAnsi="Trebuchet MS" w:cs="Arial"/>
          <w:sz w:val="20"/>
          <w:szCs w:val="20"/>
        </w:rPr>
        <w:t xml:space="preserve">marzo </w:t>
      </w:r>
      <w:r w:rsidRPr="00BF5046">
        <w:rPr>
          <w:rFonts w:ascii="Trebuchet MS" w:hAnsi="Trebuchet MS" w:cs="Arial"/>
          <w:sz w:val="20"/>
          <w:szCs w:val="20"/>
        </w:rPr>
        <w:t>de 202</w:t>
      </w:r>
      <w:r w:rsidR="00270065">
        <w:rPr>
          <w:rFonts w:ascii="Trebuchet MS" w:hAnsi="Trebuchet MS" w:cs="Arial"/>
          <w:sz w:val="20"/>
          <w:szCs w:val="20"/>
        </w:rPr>
        <w:t>6</w:t>
      </w:r>
      <w:r w:rsidRPr="00BF5046">
        <w:rPr>
          <w:rFonts w:ascii="Trebuchet MS" w:hAnsi="Trebuchet MS" w:cs="Arial"/>
          <w:sz w:val="20"/>
          <w:szCs w:val="20"/>
        </w:rPr>
        <w:t xml:space="preserve"> y </w:t>
      </w:r>
      <w:r w:rsidR="009E6FD1">
        <w:rPr>
          <w:rFonts w:ascii="Trebuchet MS" w:hAnsi="Trebuchet MS" w:cs="Arial"/>
          <w:sz w:val="20"/>
          <w:szCs w:val="20"/>
        </w:rPr>
        <w:t>al 3</w:t>
      </w:r>
      <w:r w:rsidR="00FB256D">
        <w:rPr>
          <w:rFonts w:ascii="Trebuchet MS" w:hAnsi="Trebuchet MS" w:cs="Arial"/>
          <w:sz w:val="20"/>
          <w:szCs w:val="20"/>
        </w:rPr>
        <w:t>1</w:t>
      </w:r>
      <w:r w:rsidR="009E6FD1">
        <w:rPr>
          <w:rFonts w:ascii="Trebuchet MS" w:hAnsi="Trebuchet MS" w:cs="Arial"/>
          <w:sz w:val="20"/>
          <w:szCs w:val="20"/>
        </w:rPr>
        <w:t xml:space="preserve"> de </w:t>
      </w:r>
      <w:r w:rsidR="00FB256D">
        <w:rPr>
          <w:rFonts w:ascii="Trebuchet MS" w:hAnsi="Trebuchet MS" w:cs="Arial"/>
          <w:sz w:val="20"/>
          <w:szCs w:val="20"/>
        </w:rPr>
        <w:t xml:space="preserve">diciembre </w:t>
      </w:r>
      <w:r w:rsidR="009E6FD1">
        <w:rPr>
          <w:rFonts w:ascii="Trebuchet MS" w:hAnsi="Trebuchet MS" w:cs="Arial"/>
          <w:sz w:val="20"/>
          <w:szCs w:val="20"/>
        </w:rPr>
        <w:t>del 2025</w:t>
      </w:r>
      <w:r w:rsidRPr="00BF5046">
        <w:rPr>
          <w:rFonts w:ascii="Trebuchet MS" w:hAnsi="Trebuchet MS" w:cs="Arial"/>
          <w:sz w:val="20"/>
          <w:szCs w:val="20"/>
        </w:rPr>
        <w:t>.</w:t>
      </w:r>
    </w:p>
    <w:p w14:paraId="1A39D8CC" w14:textId="77777777" w:rsidR="00BF5046" w:rsidRPr="00BF5046" w:rsidRDefault="00BF5046" w:rsidP="00D75307">
      <w:pPr>
        <w:spacing w:after="0" w:line="240" w:lineRule="auto"/>
        <w:jc w:val="both"/>
        <w:rPr>
          <w:rFonts w:ascii="Trebuchet MS" w:hAnsi="Trebuchet MS" w:cs="Arial"/>
          <w:sz w:val="20"/>
          <w:szCs w:val="20"/>
        </w:rPr>
      </w:pPr>
    </w:p>
    <w:p w14:paraId="68B22724" w14:textId="08C3062B" w:rsidR="007D1E76" w:rsidRDefault="007D1E76" w:rsidP="00D7530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D75307">
        <w:rPr>
          <w:rFonts w:cs="Calibri"/>
        </w:rPr>
        <w:t xml:space="preserve">: </w:t>
      </w:r>
    </w:p>
    <w:p w14:paraId="1E6CDF21" w14:textId="77777777" w:rsidR="00D75307" w:rsidRDefault="00D75307" w:rsidP="00D75307">
      <w:pPr>
        <w:tabs>
          <w:tab w:val="left" w:leader="underscore" w:pos="9639"/>
        </w:tabs>
        <w:spacing w:after="0" w:line="240" w:lineRule="auto"/>
        <w:jc w:val="both"/>
        <w:rPr>
          <w:rFonts w:cs="Calibri"/>
        </w:rPr>
      </w:pPr>
    </w:p>
    <w:p w14:paraId="34C78788" w14:textId="4F988891" w:rsidR="00D75307" w:rsidRPr="00BF5046" w:rsidRDefault="00BF5046" w:rsidP="00D75307">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66D1C070" w14:textId="77777777" w:rsidR="00BF5046" w:rsidRPr="00E74967" w:rsidRDefault="00BF5046" w:rsidP="00D75307">
      <w:pPr>
        <w:tabs>
          <w:tab w:val="left" w:leader="underscore" w:pos="9639"/>
        </w:tabs>
        <w:spacing w:after="0" w:line="240" w:lineRule="auto"/>
        <w:jc w:val="both"/>
        <w:rPr>
          <w:rFonts w:cs="Calibri"/>
        </w:rPr>
      </w:pPr>
    </w:p>
    <w:p w14:paraId="411AF215" w14:textId="77777777" w:rsidR="00BF504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w:t>
      </w:r>
      <w:r w:rsidR="00BF5046">
        <w:rPr>
          <w:rFonts w:cs="Calibri"/>
        </w:rPr>
        <w:t>.</w:t>
      </w:r>
    </w:p>
    <w:p w14:paraId="2EFD2A90" w14:textId="4D36DAEF" w:rsidR="00BF5046" w:rsidRPr="00C435D4" w:rsidRDefault="00BF5046" w:rsidP="00C706DE">
      <w:pPr>
        <w:pStyle w:val="Prrafodelista"/>
        <w:numPr>
          <w:ilvl w:val="0"/>
          <w:numId w:val="16"/>
        </w:numPr>
        <w:tabs>
          <w:tab w:val="left" w:leader="underscore" w:pos="9639"/>
        </w:tabs>
        <w:spacing w:after="0" w:line="240" w:lineRule="auto"/>
        <w:jc w:val="both"/>
      </w:pPr>
      <w:r w:rsidRPr="00A9250B">
        <w:t>Régimen fiscal –</w:t>
      </w:r>
    </w:p>
    <w:p w14:paraId="41569C4C"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w:t>
      </w:r>
    </w:p>
    <w:p w14:paraId="2C270979"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No efectúan retenciones del Impuesto al Valor Agregado de conformidad con el artículo 3º, tercer párrafo, de la Ley del Impuesto al Valor Agregado. </w:t>
      </w:r>
    </w:p>
    <w:p w14:paraId="3CDADEC1"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2C37C2DE" w14:textId="77777777" w:rsidR="00BF5046" w:rsidRPr="00BF5046" w:rsidRDefault="00BF5046" w:rsidP="00BF5046">
      <w:pPr>
        <w:pStyle w:val="Prrafodelista"/>
        <w:numPr>
          <w:ilvl w:val="0"/>
          <w:numId w:val="16"/>
        </w:numPr>
        <w:spacing w:after="0" w:line="240" w:lineRule="auto"/>
        <w:jc w:val="both"/>
        <w:rPr>
          <w:rFonts w:ascii="Trebuchet MS" w:hAnsi="Trebuchet MS" w:cs="Arial"/>
          <w:sz w:val="20"/>
          <w:szCs w:val="20"/>
        </w:rPr>
      </w:pPr>
      <w:r w:rsidRPr="00BF5046">
        <w:rPr>
          <w:rFonts w:ascii="Trebuchet MS" w:hAnsi="Trebuchet MS" w:cs="Arial"/>
          <w:sz w:val="20"/>
          <w:szCs w:val="20"/>
        </w:rPr>
        <w:t>Obligaciones fiscales –</w:t>
      </w:r>
    </w:p>
    <w:p w14:paraId="723B7CC3" w14:textId="77777777" w:rsidR="00BF5046" w:rsidRPr="00BF5046" w:rsidRDefault="00BF5046" w:rsidP="00BF5046">
      <w:pPr>
        <w:pStyle w:val="Prrafodelista"/>
        <w:jc w:val="both"/>
        <w:rPr>
          <w:rFonts w:ascii="Trebuchet MS" w:hAnsi="Trebuchet MS" w:cs="Arial"/>
          <w:sz w:val="20"/>
          <w:szCs w:val="20"/>
        </w:rPr>
      </w:pPr>
    </w:p>
    <w:p w14:paraId="6F2E34EE" w14:textId="77777777" w:rsidR="00BF5046" w:rsidRPr="00BF5046" w:rsidRDefault="00BF5046" w:rsidP="00BF5046">
      <w:pPr>
        <w:ind w:firstLine="633"/>
        <w:jc w:val="both"/>
        <w:rPr>
          <w:rFonts w:ascii="Trebuchet MS" w:hAnsi="Trebuchet MS" w:cs="Arial"/>
          <w:sz w:val="20"/>
          <w:szCs w:val="20"/>
        </w:rPr>
      </w:pPr>
      <w:r w:rsidRPr="00BF5046">
        <w:rPr>
          <w:rFonts w:ascii="Trebuchet MS" w:hAnsi="Trebuchet MS" w:cs="Arial"/>
          <w:sz w:val="20"/>
          <w:szCs w:val="20"/>
        </w:rPr>
        <w:t>Las obligaciones fiscales de la Universidad atienden a lo siguiente:</w:t>
      </w:r>
    </w:p>
    <w:p w14:paraId="5AB18479"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sueldos y salarios.</w:t>
      </w:r>
    </w:p>
    <w:p w14:paraId="6733F3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retención de Impuesto Sobre la Renta por servicios profesionales.</w:t>
      </w:r>
    </w:p>
    <w:p w14:paraId="4F01B1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ingresos asimilados a salarios.</w:t>
      </w:r>
    </w:p>
    <w:p w14:paraId="0EF3A33D"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 Impuesto Sobre la Renta por arrendamientos de inmuebles.</w:t>
      </w:r>
    </w:p>
    <w:p w14:paraId="33CA138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pagos y retenciones de servicios profesionales. Personas Morales. Impuesto Sobre la Renta.</w:t>
      </w:r>
    </w:p>
    <w:p w14:paraId="6A5B2C7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mensual de retenciones de Impuesto Sobre la Renta de ingresos por arrendamiento.</w:t>
      </w:r>
    </w:p>
    <w:p w14:paraId="46C644BF"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Pago definitivo mensual de Impuesto al Valor Agregado.</w:t>
      </w:r>
    </w:p>
    <w:p w14:paraId="3F4839F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mensual de proveedores.</w:t>
      </w:r>
    </w:p>
    <w:p w14:paraId="50E485C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Retenciones a residentes en el extranjero sin establecimiento permanente en México.</w:t>
      </w:r>
    </w:p>
    <w:p w14:paraId="69EC32D3"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anual de Impuesto Sobre la Renta del ejercicio personas morales.</w:t>
      </w:r>
    </w:p>
    <w:p w14:paraId="2566B035"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de proveedores de Impuesto al Valor Agregado.</w:t>
      </w:r>
    </w:p>
    <w:p w14:paraId="6F8295C7" w14:textId="109836D1" w:rsidR="001A65D3"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de Impuesto al Valor Agregado con la anual de Impuesto Sobre la Renta.</w:t>
      </w:r>
    </w:p>
    <w:p w14:paraId="7FB8D9CB"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del Impuesto Sobre la Renta y pagos efectuados a residentes en el extranjero.</w:t>
      </w:r>
    </w:p>
    <w:p w14:paraId="71882D2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de Impuesto al Valor Agregado mensual.</w:t>
      </w:r>
    </w:p>
    <w:p w14:paraId="10399E2B" w14:textId="77777777" w:rsidR="00BF5046" w:rsidRPr="00BF5046" w:rsidRDefault="00BF5046" w:rsidP="00BF5046">
      <w:pPr>
        <w:tabs>
          <w:tab w:val="left" w:leader="underscore" w:pos="9639"/>
        </w:tabs>
        <w:jc w:val="both"/>
        <w:rPr>
          <w:rFonts w:ascii="Trebuchet MS" w:hAnsi="Trebuchet MS" w:cs="Arial"/>
          <w:sz w:val="20"/>
          <w:szCs w:val="20"/>
        </w:rPr>
      </w:pPr>
    </w:p>
    <w:p w14:paraId="0D759F7B"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Podrían existir otras obligaciones fiscales derivado de operaciones que de manera extraordinaria o esporádica realice la Universidad en el marco de sus atribuciones legales. </w:t>
      </w:r>
    </w:p>
    <w:p w14:paraId="1777715B" w14:textId="77777777" w:rsidR="00C95564" w:rsidRDefault="00C95564">
      <w:pPr>
        <w:spacing w:after="0" w:line="240" w:lineRule="auto"/>
        <w:rPr>
          <w:rFonts w:cs="Calibri"/>
          <w:b/>
        </w:rPr>
      </w:pPr>
      <w:r>
        <w:rPr>
          <w:rFonts w:cs="Calibri"/>
          <w:b/>
        </w:rPr>
        <w:br w:type="page"/>
      </w:r>
    </w:p>
    <w:p w14:paraId="6EB77A6D" w14:textId="2484D8A1"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13E82C3D" w14:textId="7F3A5469" w:rsidR="00CB41C4" w:rsidRDefault="00D75307" w:rsidP="00CB41C4">
      <w:pPr>
        <w:tabs>
          <w:tab w:val="left" w:leader="underscore" w:pos="9639"/>
        </w:tabs>
        <w:spacing w:after="0" w:line="240" w:lineRule="auto"/>
        <w:jc w:val="both"/>
        <w:rPr>
          <w:rFonts w:cs="Calibri"/>
        </w:rPr>
      </w:pPr>
      <w:r>
        <w:rPr>
          <w:noProof/>
        </w:rPr>
        <w:drawing>
          <wp:inline distT="0" distB="0" distL="0" distR="0" wp14:anchorId="7BC53807" wp14:editId="4EB3263B">
            <wp:extent cx="6151880" cy="2965172"/>
            <wp:effectExtent l="0" t="0" r="1270" b="6985"/>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6151880" cy="2965172"/>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4E0105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w:t>
      </w:r>
      <w:r w:rsidR="00D75307">
        <w:rPr>
          <w:rFonts w:cs="Calibri"/>
        </w:rPr>
        <w:t>.</w:t>
      </w:r>
    </w:p>
    <w:p w14:paraId="0CFA3A4B" w14:textId="77777777" w:rsidR="00BF5046" w:rsidRDefault="00BF5046" w:rsidP="00D75307">
      <w:pPr>
        <w:jc w:val="both"/>
        <w:rPr>
          <w:rFonts w:ascii="Trebuchet MS" w:hAnsi="Trebuchet MS" w:cs="Arial"/>
          <w:sz w:val="20"/>
          <w:szCs w:val="20"/>
        </w:rPr>
      </w:pPr>
    </w:p>
    <w:p w14:paraId="6C908052"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7E97CCE9" w14:textId="77777777" w:rsidR="00BF5046" w:rsidRPr="00BF5046" w:rsidRDefault="00BF5046" w:rsidP="00BF5046">
      <w:pPr>
        <w:tabs>
          <w:tab w:val="left" w:leader="underscore" w:pos="9639"/>
        </w:tabs>
        <w:rPr>
          <w:rFonts w:ascii="Trebuchet MS" w:hAnsi="Trebuchet MS" w:cs="Arial"/>
          <w:sz w:val="20"/>
          <w:szCs w:val="20"/>
        </w:rPr>
      </w:pPr>
    </w:p>
    <w:p w14:paraId="267C891F"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para el Desarrollo Profesional Docente.</w:t>
      </w:r>
    </w:p>
    <w:p w14:paraId="12A542C1"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de Mejoramiento del Profesorado.</w:t>
      </w:r>
    </w:p>
    <w:p w14:paraId="642A4B90" w14:textId="76FD9090" w:rsidR="00D75307" w:rsidRPr="00BF5046" w:rsidRDefault="00BF5046" w:rsidP="00A37128">
      <w:pPr>
        <w:pStyle w:val="Prrafodelista"/>
        <w:numPr>
          <w:ilvl w:val="0"/>
          <w:numId w:val="7"/>
        </w:numPr>
        <w:tabs>
          <w:tab w:val="left" w:leader="underscore" w:pos="9639"/>
        </w:tabs>
        <w:spacing w:after="0" w:line="240" w:lineRule="auto"/>
        <w:rPr>
          <w:rFonts w:cs="Calibri"/>
        </w:rPr>
      </w:pPr>
      <w:r w:rsidRPr="00BF5046">
        <w:rPr>
          <w:rFonts w:ascii="Trebuchet MS" w:hAnsi="Trebuchet MS" w:cs="Arial"/>
          <w:sz w:val="20"/>
          <w:szCs w:val="20"/>
        </w:rPr>
        <w:t>Fondo de Pensiones.</w:t>
      </w:r>
    </w:p>
    <w:p w14:paraId="6C867D2B" w14:textId="5C4473DE" w:rsidR="001A65D3" w:rsidRDefault="001A65D3">
      <w:pPr>
        <w:spacing w:after="0" w:line="240" w:lineRule="auto"/>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DF962CD"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3A3D51C" w14:textId="77777777" w:rsidR="00BF5046" w:rsidRDefault="00BF5046" w:rsidP="00BF5046">
      <w:pPr>
        <w:tabs>
          <w:tab w:val="left" w:leader="underscore" w:pos="9639"/>
        </w:tabs>
        <w:jc w:val="both"/>
      </w:pPr>
    </w:p>
    <w:p w14:paraId="10E93D44" w14:textId="562D817A" w:rsidR="00C95564"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2ACD16FD" w14:textId="77777777" w:rsidR="00C95564" w:rsidRDefault="00C95564">
      <w:pPr>
        <w:spacing w:after="0" w:line="240" w:lineRule="auto"/>
        <w:rPr>
          <w:rFonts w:ascii="Trebuchet MS" w:hAnsi="Trebuchet MS" w:cs="Arial"/>
          <w:sz w:val="20"/>
          <w:szCs w:val="20"/>
        </w:rPr>
      </w:pPr>
      <w:r>
        <w:rPr>
          <w:rFonts w:ascii="Trebuchet MS" w:hAnsi="Trebuchet MS" w:cs="Arial"/>
          <w:sz w:val="20"/>
          <w:szCs w:val="20"/>
        </w:rPr>
        <w:br w:type="page"/>
      </w:r>
    </w:p>
    <w:p w14:paraId="7C51CEBA" w14:textId="54B9CBA2" w:rsidR="00D75307" w:rsidRPr="00BF5046" w:rsidRDefault="00BF5046" w:rsidP="00BF5046">
      <w:pPr>
        <w:spacing w:after="0" w:line="240" w:lineRule="auto"/>
        <w:jc w:val="both"/>
        <w:rPr>
          <w:rFonts w:ascii="Trebuchet MS" w:hAnsi="Trebuchet MS" w:cs="Arial"/>
          <w:sz w:val="20"/>
          <w:szCs w:val="20"/>
        </w:rPr>
      </w:pPr>
      <w:r w:rsidRPr="00BF5046">
        <w:rPr>
          <w:rFonts w:ascii="Trebuchet MS" w:hAnsi="Trebuchet MS" w:cs="Arial"/>
          <w:sz w:val="20"/>
          <w:szCs w:val="20"/>
        </w:rPr>
        <w:lastRenderedPageBreak/>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7456ED56" w14:textId="77777777" w:rsidR="00BF5046" w:rsidRPr="008878FA" w:rsidRDefault="00BF5046" w:rsidP="00BF5046">
      <w:pPr>
        <w:spacing w:after="0" w:line="240" w:lineRule="auto"/>
        <w:jc w:val="both"/>
        <w:rPr>
          <w:rFonts w:ascii="Trebuchet MS" w:hAnsi="Trebuchet MS"/>
          <w:sz w:val="20"/>
          <w:szCs w:val="20"/>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79DA3660" w14:textId="77777777" w:rsidR="00D75307" w:rsidRDefault="00D75307" w:rsidP="00D75307">
      <w:pPr>
        <w:spacing w:after="0" w:line="240" w:lineRule="auto"/>
        <w:jc w:val="both"/>
        <w:rPr>
          <w:rFonts w:ascii="Trebuchet MS" w:hAnsi="Trebuchet MS"/>
          <w:sz w:val="20"/>
          <w:szCs w:val="20"/>
        </w:rPr>
      </w:pPr>
    </w:p>
    <w:p w14:paraId="1CD074B4" w14:textId="77777777" w:rsidR="00BF5046" w:rsidRPr="00BF5046" w:rsidRDefault="00BF5046" w:rsidP="00BF5046">
      <w:pPr>
        <w:tabs>
          <w:tab w:val="left" w:leader="underscore" w:pos="9639"/>
        </w:tabs>
        <w:rPr>
          <w:rFonts w:ascii="Trebuchet MS" w:hAnsi="Trebuchet MS" w:cs="Arial"/>
          <w:sz w:val="20"/>
          <w:szCs w:val="20"/>
        </w:rPr>
      </w:pPr>
      <w:r w:rsidRPr="00BF5046">
        <w:rPr>
          <w:rFonts w:ascii="Trebuchet MS" w:hAnsi="Trebuchet MS" w:cs="Arial"/>
          <w:sz w:val="20"/>
          <w:szCs w:val="20"/>
        </w:rPr>
        <w:t xml:space="preserve">La normativa que aplica la Universidad para reconocer, valuar y revelar la información en sus estados financieros, así como las bases de medición utilizadas para la elaboración de </w:t>
      </w:r>
      <w:proofErr w:type="gramStart"/>
      <w:r w:rsidRPr="00BF5046">
        <w:rPr>
          <w:rFonts w:ascii="Trebuchet MS" w:hAnsi="Trebuchet MS" w:cs="Arial"/>
          <w:sz w:val="20"/>
          <w:szCs w:val="20"/>
        </w:rPr>
        <w:t>los mismos</w:t>
      </w:r>
      <w:proofErr w:type="gramEnd"/>
      <w:r w:rsidRPr="00BF5046">
        <w:rPr>
          <w:rFonts w:ascii="Trebuchet MS" w:hAnsi="Trebuchet MS" w:cs="Arial"/>
          <w:sz w:val="20"/>
          <w:szCs w:val="20"/>
        </w:rPr>
        <w:t xml:space="preserve"> son:</w:t>
      </w:r>
    </w:p>
    <w:p w14:paraId="6E771A6B"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adquisición y/o histórico. </w:t>
      </w:r>
    </w:p>
    <w:p w14:paraId="6A3D7F1E"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reposición y/o reemplazo. </w:t>
      </w:r>
    </w:p>
    <w:p w14:paraId="544292A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Recurso histórico. </w:t>
      </w:r>
    </w:p>
    <w:p w14:paraId="19016BC3"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realización. </w:t>
      </w:r>
    </w:p>
    <w:p w14:paraId="668FCFCF"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neto de realización. </w:t>
      </w:r>
    </w:p>
    <w:p w14:paraId="36242C57"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liquidación. </w:t>
      </w:r>
    </w:p>
    <w:p w14:paraId="24C5CDE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presente. </w:t>
      </w:r>
    </w:p>
    <w:p w14:paraId="53794859"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razonable. </w:t>
      </w:r>
    </w:p>
    <w:p w14:paraId="14B37058" w14:textId="77777777" w:rsidR="00D75307" w:rsidRPr="008878FA" w:rsidRDefault="00D75307" w:rsidP="00D75307">
      <w:pPr>
        <w:spacing w:after="0" w:line="240" w:lineRule="auto"/>
        <w:jc w:val="both"/>
        <w:rPr>
          <w:rFonts w:ascii="Trebuchet MS" w:hAnsi="Trebuchet MS"/>
          <w:sz w:val="20"/>
          <w:szCs w:val="20"/>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869DF16" w14:textId="77777777" w:rsidR="00D75307" w:rsidRDefault="00D75307" w:rsidP="00D75307">
      <w:pPr>
        <w:jc w:val="both"/>
        <w:rPr>
          <w:rFonts w:ascii="Trebuchet MS" w:hAnsi="Trebuchet MS" w:cs="Arial"/>
          <w:sz w:val="20"/>
          <w:szCs w:val="20"/>
        </w:rPr>
      </w:pPr>
    </w:p>
    <w:p w14:paraId="547E804F"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AA41D70"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Sustancia económica.</w:t>
      </w:r>
    </w:p>
    <w:p w14:paraId="650A47B3"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Entes públicos.</w:t>
      </w:r>
    </w:p>
    <w:p w14:paraId="566D7B16"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Existencia permanente.</w:t>
      </w:r>
    </w:p>
    <w:p w14:paraId="4117EBC2"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Revelación suficiente.</w:t>
      </w:r>
    </w:p>
    <w:p w14:paraId="4DBC597A"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Importancia relativa.</w:t>
      </w:r>
    </w:p>
    <w:p w14:paraId="4DC17BA8"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Registro e integración presupuestaria.</w:t>
      </w:r>
    </w:p>
    <w:p w14:paraId="12B1A9C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Consolidación de la información financiera.</w:t>
      </w:r>
    </w:p>
    <w:p w14:paraId="44CC328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Devengo contable.</w:t>
      </w:r>
    </w:p>
    <w:p w14:paraId="68BA639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Valuación.</w:t>
      </w:r>
    </w:p>
    <w:p w14:paraId="518A904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Dualidad económica.</w:t>
      </w:r>
    </w:p>
    <w:p w14:paraId="4BCF1059"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Consistencia.</w:t>
      </w:r>
    </w:p>
    <w:p w14:paraId="40A049F3" w14:textId="39545B55" w:rsidR="00D75307" w:rsidRDefault="00D75307" w:rsidP="00995882">
      <w:pPr>
        <w:pStyle w:val="Prrafodelista"/>
        <w:spacing w:after="0" w:line="240" w:lineRule="auto"/>
        <w:jc w:val="both"/>
        <w:rPr>
          <w:rFonts w:ascii="Trebuchet MS" w:hAnsi="Trebuchet MS"/>
          <w:sz w:val="20"/>
          <w:szCs w:val="20"/>
        </w:rPr>
      </w:pPr>
    </w:p>
    <w:p w14:paraId="7989D893" w14:textId="6A08B59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BCC8F85" w14:textId="77777777" w:rsidR="00D75307" w:rsidRPr="00995882" w:rsidRDefault="00D75307" w:rsidP="00CB41C4">
      <w:pPr>
        <w:tabs>
          <w:tab w:val="left" w:leader="underscore" w:pos="9639"/>
        </w:tabs>
        <w:spacing w:after="0" w:line="240" w:lineRule="auto"/>
        <w:jc w:val="both"/>
        <w:rPr>
          <w:rFonts w:ascii="Trebuchet MS" w:hAnsi="Trebuchet MS" w:cs="Arial"/>
          <w:sz w:val="20"/>
          <w:szCs w:val="20"/>
        </w:rPr>
      </w:pPr>
    </w:p>
    <w:p w14:paraId="4BA11FB3"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55722791"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normatividad emitida por las unidades administrativas o instancias competentes en materia de Contabilidad Gubernamental.</w:t>
      </w:r>
    </w:p>
    <w:p w14:paraId="1764BDB8"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lastRenderedPageBreak/>
        <w:t>Las Normas Internacionales de Contabilidad para el Sector Público, emitidas por la Junta de Normas Internacionales del Sector Público.</w:t>
      </w:r>
    </w:p>
    <w:p w14:paraId="0ECEFFBB"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de Información Financiera, emitidas por el Consejo Mexicano de Normas de Información Financiera.</w:t>
      </w:r>
    </w:p>
    <w:p w14:paraId="36357224" w14:textId="77777777" w:rsidR="00995882" w:rsidRDefault="00995882" w:rsidP="00995882">
      <w:pPr>
        <w:tabs>
          <w:tab w:val="left" w:leader="underscore" w:pos="9639"/>
        </w:tabs>
      </w:pPr>
    </w:p>
    <w:p w14:paraId="02977AB3" w14:textId="3B689450" w:rsidR="007D1E76" w:rsidRPr="00995882" w:rsidRDefault="00995882" w:rsidP="00995882">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 xml:space="preserve">Hasta la emisión de estos estados financieros la Universidad </w:t>
      </w:r>
      <w:proofErr w:type="spellStart"/>
      <w:r w:rsidRPr="00995882">
        <w:rPr>
          <w:rFonts w:ascii="Trebuchet MS" w:hAnsi="Trebuchet MS" w:cs="Arial"/>
          <w:sz w:val="20"/>
          <w:szCs w:val="20"/>
        </w:rPr>
        <w:t>a</w:t>
      </w:r>
      <w:proofErr w:type="spellEnd"/>
      <w:r w:rsidRPr="00995882">
        <w:rPr>
          <w:rFonts w:ascii="Trebuchet MS" w:hAnsi="Trebuchet MS" w:cs="Arial"/>
          <w:sz w:val="20"/>
          <w:szCs w:val="20"/>
        </w:rPr>
        <w:t xml:space="preserve"> observado la normativa emitida por el Consejo Nacional de Armonización Contable sin la aplicación de las normas supletorias señaladas anteriormente.</w:t>
      </w:r>
    </w:p>
    <w:p w14:paraId="5EDCEBB4" w14:textId="77777777" w:rsidR="00995882" w:rsidRDefault="00995882" w:rsidP="00CB41C4">
      <w:pPr>
        <w:tabs>
          <w:tab w:val="left" w:leader="underscore" w:pos="9639"/>
        </w:tabs>
        <w:spacing w:after="0" w:line="240" w:lineRule="auto"/>
        <w:jc w:val="both"/>
        <w:rPr>
          <w:rFonts w:cs="Calibri"/>
          <w:b/>
        </w:rPr>
      </w:pPr>
    </w:p>
    <w:p w14:paraId="084AD24A" w14:textId="4D12A1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2D81917" w14:textId="77777777" w:rsidR="00D75307" w:rsidRPr="008878FA" w:rsidRDefault="00D75307" w:rsidP="00D75307">
      <w:pPr>
        <w:spacing w:after="0" w:line="240" w:lineRule="auto"/>
        <w:jc w:val="both"/>
        <w:rPr>
          <w:rFonts w:ascii="Trebuchet MS" w:hAnsi="Trebuchet MS"/>
          <w:sz w:val="20"/>
          <w:szCs w:val="20"/>
        </w:rPr>
      </w:pPr>
    </w:p>
    <w:p w14:paraId="27474F37"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5B6ABDF"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0702261A" w14:textId="77777777" w:rsidR="00D75307" w:rsidRPr="00D75307" w:rsidRDefault="00D75307" w:rsidP="00D75307">
      <w:pPr>
        <w:tabs>
          <w:tab w:val="left" w:leader="underscore" w:pos="9639"/>
        </w:tabs>
        <w:spacing w:after="0" w:line="240" w:lineRule="auto"/>
        <w:jc w:val="both"/>
        <w:rPr>
          <w:rFonts w:cs="Calibri"/>
        </w:rPr>
      </w:pPr>
      <w:r w:rsidRPr="00D75307">
        <w:rPr>
          <w:rFonts w:ascii="Trebuchet MS" w:hAnsi="Trebuchet MS" w:cs="Arial"/>
          <w:sz w:val="20"/>
          <w:szCs w:val="20"/>
        </w:rPr>
        <w:t>Se realizaron ajustes al sistema contable y presupuestal, que permitan cumplir con las políticas que establece la LGCG.</w:t>
      </w:r>
    </w:p>
    <w:p w14:paraId="787C56A9" w14:textId="77777777" w:rsidR="00D75307" w:rsidRPr="00D75307" w:rsidRDefault="00D75307" w:rsidP="00D75307">
      <w:pPr>
        <w:pStyle w:val="Prrafodelista"/>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04A4D32" w14:textId="0C6A33A5" w:rsidR="007D1E76" w:rsidRDefault="007D1E76" w:rsidP="00995882">
      <w:pPr>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 xml:space="preserve">Actualización: </w:t>
      </w:r>
    </w:p>
    <w:p w14:paraId="3A2605C8" w14:textId="4D0A24C0"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 xml:space="preserve">De conformidad con las </w:t>
      </w:r>
      <w:r w:rsidR="00592230" w:rsidRPr="00872441">
        <w:rPr>
          <w:rFonts w:ascii="Trebuchet MS" w:hAnsi="Trebuchet MS" w:cs="Arial"/>
          <w:sz w:val="20"/>
          <w:szCs w:val="20"/>
        </w:rPr>
        <w:t>Reglas de Registro y Valuación del Patrimonio</w:t>
      </w:r>
      <w:r w:rsidR="00592230">
        <w:rPr>
          <w:rFonts w:ascii="Trebuchet MS" w:hAnsi="Trebuchet MS" w:cs="Arial"/>
          <w:sz w:val="20"/>
          <w:szCs w:val="20"/>
        </w:rPr>
        <w:t xml:space="preserve"> </w:t>
      </w:r>
      <w:r w:rsidRPr="00995882">
        <w:rPr>
          <w:rFonts w:ascii="Trebuchet MS" w:hAnsi="Trebuchet MS" w:cs="Arial"/>
          <w:sz w:val="20"/>
          <w:szCs w:val="20"/>
        </w:rPr>
        <w:t xml:space="preserve">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3BC6C934" w14:textId="2F01309E" w:rsidR="001A65D3" w:rsidRDefault="00995882" w:rsidP="00995882">
      <w:pPr>
        <w:spacing w:after="0" w:line="240" w:lineRule="auto"/>
        <w:jc w:val="both"/>
        <w:rPr>
          <w:rFonts w:ascii="Trebuchet MS" w:hAnsi="Trebuchet MS" w:cs="Arial"/>
          <w:sz w:val="20"/>
          <w:szCs w:val="20"/>
        </w:rPr>
      </w:pPr>
      <w:r w:rsidRPr="00995882">
        <w:rPr>
          <w:rFonts w:ascii="Trebuchet MS" w:hAnsi="Trebuchet MS" w:cs="Arial"/>
          <w:sz w:val="20"/>
          <w:szCs w:val="20"/>
        </w:rPr>
        <w:t xml:space="preserve">Durante los últimos tres ejercicios al 31 de </w:t>
      </w:r>
      <w:r w:rsidR="00270065">
        <w:rPr>
          <w:rFonts w:ascii="Trebuchet MS" w:hAnsi="Trebuchet MS" w:cs="Arial"/>
          <w:sz w:val="20"/>
          <w:szCs w:val="20"/>
        </w:rPr>
        <w:t>marzo</w:t>
      </w:r>
      <w:r w:rsidRPr="00995882">
        <w:rPr>
          <w:rFonts w:ascii="Trebuchet MS" w:hAnsi="Trebuchet MS" w:cs="Arial"/>
          <w:sz w:val="20"/>
          <w:szCs w:val="20"/>
        </w:rPr>
        <w:t xml:space="preserve"> de 202</w:t>
      </w:r>
      <w:r w:rsidR="00270065">
        <w:rPr>
          <w:rFonts w:ascii="Trebuchet MS" w:hAnsi="Trebuchet MS" w:cs="Arial"/>
          <w:sz w:val="20"/>
          <w:szCs w:val="20"/>
        </w:rPr>
        <w:t>6</w:t>
      </w:r>
      <w:r w:rsidRPr="00995882">
        <w:rPr>
          <w:rFonts w:ascii="Trebuchet MS" w:hAnsi="Trebuchet MS" w:cs="Arial"/>
          <w:sz w:val="20"/>
          <w:szCs w:val="20"/>
        </w:rPr>
        <w:t xml:space="preserve">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1E4E3A79" w14:textId="77777777" w:rsidR="00995882" w:rsidRPr="00995882" w:rsidRDefault="00995882" w:rsidP="00D75307">
      <w:pPr>
        <w:tabs>
          <w:tab w:val="left" w:leader="underscore" w:pos="9639"/>
        </w:tabs>
        <w:spacing w:after="0" w:line="240" w:lineRule="auto"/>
        <w:jc w:val="both"/>
        <w:rPr>
          <w:rFonts w:ascii="Trebuchet MS" w:hAnsi="Trebuchet MS" w:cs="Arial"/>
          <w:sz w:val="20"/>
          <w:szCs w:val="20"/>
        </w:rPr>
      </w:pPr>
    </w:p>
    <w:p w14:paraId="35FCED94" w14:textId="48B336E8" w:rsidR="007D1E76" w:rsidRDefault="007D1E76" w:rsidP="00D75307">
      <w:pPr>
        <w:tabs>
          <w:tab w:val="left" w:leader="underscore" w:pos="9639"/>
        </w:tabs>
        <w:spacing w:after="0" w:line="240" w:lineRule="auto"/>
        <w:jc w:val="both"/>
        <w:rPr>
          <w:rFonts w:cs="Calibri"/>
        </w:rPr>
      </w:pPr>
      <w:r w:rsidRPr="00995882">
        <w:rPr>
          <w:rFonts w:ascii="Trebuchet MS" w:hAnsi="Trebuchet MS" w:cs="Arial"/>
          <w:sz w:val="20"/>
          <w:szCs w:val="20"/>
        </w:rPr>
        <w:t xml:space="preserve">b) </w:t>
      </w:r>
      <w:r w:rsidR="001C710C" w:rsidRPr="00995882">
        <w:rPr>
          <w:rFonts w:ascii="Trebuchet MS" w:hAnsi="Trebuchet MS" w:cs="Arial"/>
          <w:sz w:val="20"/>
          <w:szCs w:val="20"/>
        </w:rPr>
        <w:t>Informar sobre la realización de operaciones en el extranjero y de sus efectos en la información financiera</w:t>
      </w:r>
      <w:r w:rsidR="001C710C" w:rsidRPr="001C710C">
        <w:rPr>
          <w:rFonts w:cs="Calibri"/>
        </w:rPr>
        <w:t xml:space="preserve"> </w:t>
      </w:r>
      <w:r w:rsidR="00D75307">
        <w:rPr>
          <w:rFonts w:cs="Calibri"/>
        </w:rPr>
        <w:t>gubernamental:</w:t>
      </w:r>
    </w:p>
    <w:p w14:paraId="260C779F" w14:textId="77777777" w:rsidR="00D75307" w:rsidRDefault="00D75307" w:rsidP="00D75307">
      <w:pPr>
        <w:tabs>
          <w:tab w:val="left" w:leader="underscore" w:pos="9639"/>
        </w:tabs>
        <w:spacing w:after="0" w:line="240" w:lineRule="auto"/>
        <w:jc w:val="both"/>
        <w:rPr>
          <w:rFonts w:cs="Calibri"/>
        </w:rPr>
      </w:pPr>
    </w:p>
    <w:p w14:paraId="05B3AA15" w14:textId="77777777" w:rsidR="00995882" w:rsidRPr="00995882" w:rsidRDefault="00995882"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3F560413" w14:textId="77777777" w:rsidR="00995882" w:rsidRDefault="00995882" w:rsidP="00CB41C4">
      <w:pPr>
        <w:tabs>
          <w:tab w:val="left" w:leader="underscore" w:pos="9639"/>
        </w:tabs>
        <w:spacing w:after="0" w:line="240" w:lineRule="auto"/>
        <w:jc w:val="both"/>
      </w:pPr>
    </w:p>
    <w:p w14:paraId="433324F3" w14:textId="58909FF9" w:rsidR="007D1E76" w:rsidRPr="00C95564" w:rsidRDefault="007D1E76" w:rsidP="00CB41C4">
      <w:pPr>
        <w:tabs>
          <w:tab w:val="left" w:leader="underscore" w:pos="9639"/>
        </w:tabs>
        <w:spacing w:after="0" w:line="240" w:lineRule="auto"/>
        <w:jc w:val="both"/>
        <w:rPr>
          <w:rFonts w:ascii="Trebuchet MS" w:hAnsi="Trebuchet MS" w:cs="Calibri"/>
          <w:sz w:val="20"/>
          <w:szCs w:val="20"/>
        </w:rPr>
      </w:pPr>
      <w:r w:rsidRPr="00C95564">
        <w:rPr>
          <w:rFonts w:ascii="Trebuchet MS" w:hAnsi="Trebuchet MS" w:cs="Calibri"/>
          <w:b/>
          <w:sz w:val="20"/>
          <w:szCs w:val="20"/>
        </w:rPr>
        <w:t>c)</w:t>
      </w:r>
      <w:r w:rsidRPr="00C95564">
        <w:rPr>
          <w:rFonts w:ascii="Trebuchet MS" w:hAnsi="Trebuchet MS" w:cs="Calibri"/>
          <w:sz w:val="20"/>
          <w:szCs w:val="20"/>
        </w:rPr>
        <w:t xml:space="preserve"> </w:t>
      </w:r>
      <w:r w:rsidR="00E9132F" w:rsidRPr="00C95564">
        <w:rPr>
          <w:rFonts w:ascii="Trebuchet MS" w:hAnsi="Trebuchet MS" w:cs="Calibri"/>
          <w:sz w:val="20"/>
          <w:szCs w:val="20"/>
        </w:rPr>
        <w:t>Método de valuación de la inversión en acciones de Compañías subsidiarias no consolidadas y asociadas</w:t>
      </w:r>
      <w:r w:rsidRPr="00C95564">
        <w:rPr>
          <w:rFonts w:ascii="Trebuchet MS" w:hAnsi="Trebuchet MS" w:cs="Calibri"/>
          <w:sz w:val="20"/>
          <w:szCs w:val="20"/>
        </w:rPr>
        <w:t>:</w:t>
      </w:r>
    </w:p>
    <w:p w14:paraId="5F281EDE" w14:textId="77777777" w:rsidR="00995882" w:rsidRDefault="00995882" w:rsidP="00D75307">
      <w:pPr>
        <w:jc w:val="both"/>
        <w:rPr>
          <w:rFonts w:ascii="Trebuchet MS" w:hAnsi="Trebuchet MS" w:cs="Arial"/>
          <w:sz w:val="20"/>
          <w:szCs w:val="20"/>
        </w:rPr>
      </w:pPr>
    </w:p>
    <w:p w14:paraId="6F17BEAA"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2EA4933C" w14:textId="65841D1F" w:rsidR="007D1E76"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La Universidad ha reconocido la actualización de su participación en las empresas asociadas durante el ejercicio 202</w:t>
      </w:r>
      <w:r w:rsidR="002E7187">
        <w:rPr>
          <w:rFonts w:ascii="Trebuchet MS" w:hAnsi="Trebuchet MS" w:cs="Arial"/>
          <w:sz w:val="20"/>
          <w:szCs w:val="20"/>
        </w:rPr>
        <w:t>5</w:t>
      </w:r>
      <w:r w:rsidRPr="00995882">
        <w:rPr>
          <w:rFonts w:ascii="Trebuchet MS" w:hAnsi="Trebuchet MS" w:cs="Arial"/>
          <w:sz w:val="20"/>
          <w:szCs w:val="20"/>
        </w:rPr>
        <w:t xml:space="preserve"> tomando como base la última información financiera disponible que para ello entregaron dichas empresas.</w:t>
      </w:r>
      <w:r w:rsidR="00D75307">
        <w:rPr>
          <w:rFonts w:ascii="Trebuchet MS" w:hAnsi="Trebuchet MS" w:cs="Arial"/>
          <w:sz w:val="20"/>
          <w:szCs w:val="20"/>
        </w:rPr>
        <w:t xml:space="preserve"> </w:t>
      </w: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CE55F76" w14:textId="77777777" w:rsidR="00995882" w:rsidRDefault="00995882" w:rsidP="00D75307">
      <w:pPr>
        <w:jc w:val="both"/>
        <w:rPr>
          <w:rFonts w:ascii="Trebuchet MS" w:hAnsi="Trebuchet MS" w:cs="Arial"/>
          <w:sz w:val="20"/>
          <w:szCs w:val="20"/>
        </w:rPr>
      </w:pPr>
    </w:p>
    <w:p w14:paraId="2C4B24AB" w14:textId="213517F9" w:rsidR="00D75307" w:rsidRPr="00115509" w:rsidRDefault="00D75307" w:rsidP="00D75307">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1D8C904A" w14:textId="77777777" w:rsidR="007D1E76" w:rsidRPr="00995882" w:rsidRDefault="007D1E76" w:rsidP="00CB41C4">
      <w:pPr>
        <w:tabs>
          <w:tab w:val="left" w:leader="underscore" w:pos="9639"/>
        </w:tabs>
        <w:spacing w:after="0" w:line="240" w:lineRule="auto"/>
        <w:jc w:val="both"/>
        <w:rPr>
          <w:rFonts w:ascii="Trebuchet MS" w:hAnsi="Trebuchet MS" w:cs="Arial"/>
          <w:sz w:val="20"/>
          <w:szCs w:val="20"/>
        </w:rPr>
      </w:pPr>
      <w:r w:rsidRPr="008F631B">
        <w:rPr>
          <w:rFonts w:ascii="Trebuchet MS" w:hAnsi="Trebuchet MS" w:cs="Arial"/>
          <w:b/>
          <w:bCs/>
          <w:sz w:val="20"/>
          <w:szCs w:val="20"/>
        </w:rPr>
        <w:t>e)</w:t>
      </w:r>
      <w:r w:rsidRPr="00995882">
        <w:rPr>
          <w:rFonts w:ascii="Trebuchet MS" w:hAnsi="Trebuchet MS"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27B22759" w14:textId="77777777" w:rsidR="00995882" w:rsidRDefault="00995882" w:rsidP="00D75307">
      <w:pPr>
        <w:pStyle w:val="Prrafodelista"/>
        <w:jc w:val="both"/>
        <w:rPr>
          <w:rFonts w:ascii="Trebuchet MS" w:hAnsi="Trebuchet MS" w:cs="Arial"/>
          <w:sz w:val="20"/>
          <w:szCs w:val="20"/>
        </w:rPr>
      </w:pPr>
    </w:p>
    <w:p w14:paraId="1CCFF518" w14:textId="77DF98C6" w:rsidR="008F631B" w:rsidRPr="00C95564" w:rsidRDefault="008F631B" w:rsidP="008F631B">
      <w:pPr>
        <w:tabs>
          <w:tab w:val="left" w:leader="underscore" w:pos="9639"/>
        </w:tabs>
        <w:jc w:val="both"/>
        <w:rPr>
          <w:rFonts w:ascii="Trebuchet MS" w:hAnsi="Trebuchet MS"/>
          <w:sz w:val="20"/>
          <w:szCs w:val="20"/>
        </w:rPr>
      </w:pPr>
      <w:r w:rsidRPr="00C95564">
        <w:rPr>
          <w:rFonts w:ascii="Trebuchet MS" w:hAnsi="Trebuchet MS"/>
          <w:sz w:val="20"/>
          <w:szCs w:val="20"/>
        </w:rPr>
        <w:t xml:space="preserve">La Universidad opera distintos planes al retiro, incluyendo el de beneficios y contribuciones definidos, así como planes médicos al retiro. </w:t>
      </w:r>
    </w:p>
    <w:p w14:paraId="70FA5AFB" w14:textId="77777777" w:rsidR="008F631B" w:rsidRPr="00C95564" w:rsidRDefault="008F631B" w:rsidP="008F631B">
      <w:pPr>
        <w:tabs>
          <w:tab w:val="left" w:leader="underscore" w:pos="9639"/>
        </w:tabs>
        <w:rPr>
          <w:rFonts w:ascii="Trebuchet MS" w:hAnsi="Trebuchet MS"/>
          <w:sz w:val="20"/>
          <w:szCs w:val="20"/>
          <w:u w:val="single"/>
        </w:rPr>
      </w:pPr>
      <w:r w:rsidRPr="00C95564">
        <w:rPr>
          <w:rFonts w:ascii="Trebuchet MS" w:hAnsi="Trebuchet MS"/>
          <w:sz w:val="20"/>
          <w:szCs w:val="20"/>
          <w:u w:val="single"/>
        </w:rPr>
        <w:t xml:space="preserve">Personal administrativo </w:t>
      </w:r>
    </w:p>
    <w:p w14:paraId="2A432F2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antigüedad</w:t>
      </w:r>
      <w:r w:rsidRPr="00C95564">
        <w:rPr>
          <w:rFonts w:ascii="Trebuchet MS" w:hAnsi="Trebuchet MS"/>
          <w:sz w:val="20"/>
          <w:szCs w:val="20"/>
        </w:rPr>
        <w:t xml:space="preserve"> - De conformidad con el contrato colectivo de trabajo, esta prima se pagará mensualmente a partir de que el empleado cumpla cinco años de servicio en activo. Para el personal administrativo la prima inicial será de 7.5% adicional al sueldo, incrementándose en 1.5% por año trabajado, hasta un máximo de 50%. Las erogaciones por primas de antigüedad se registran en los egresos del ejercicio en que se pagan. </w:t>
      </w:r>
    </w:p>
    <w:p w14:paraId="21241232"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separación</w:t>
      </w:r>
      <w:r w:rsidRPr="00C95564">
        <w:rPr>
          <w:rFonts w:ascii="Trebuchet MS" w:hAnsi="Trebuchet MS"/>
          <w:sz w:val="20"/>
          <w:szCs w:val="20"/>
        </w:rPr>
        <w:t xml:space="preserve">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7FDADB8E" w14:textId="77777777" w:rsidR="008F631B" w:rsidRPr="00C95564" w:rsidRDefault="008F631B" w:rsidP="008F631B">
      <w:pPr>
        <w:jc w:val="both"/>
        <w:rPr>
          <w:rFonts w:ascii="Trebuchet MS" w:hAnsi="Trebuchet MS"/>
          <w:sz w:val="20"/>
          <w:szCs w:val="20"/>
        </w:rPr>
      </w:pPr>
    </w:p>
    <w:p w14:paraId="0A25DD29"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Indemnizaciones al personal</w:t>
      </w:r>
      <w:r w:rsidRPr="00C95564">
        <w:rPr>
          <w:rFonts w:ascii="Trebuchet MS" w:hAnsi="Trebuchet MS"/>
          <w:sz w:val="20"/>
          <w:szCs w:val="20"/>
        </w:rPr>
        <w:t xml:space="preserve"> - De conformidad con la Ley Federal del Trabajo, los trabajadores tienen derecho a una indemnización en caso de despido injustificado, las erogaciones por este concepto se registran en los egresos del año en que se pagan.</w:t>
      </w:r>
    </w:p>
    <w:p w14:paraId="0D347C2F" w14:textId="77777777" w:rsidR="008F631B" w:rsidRPr="00C95564" w:rsidRDefault="008F631B" w:rsidP="008F631B">
      <w:pPr>
        <w:jc w:val="both"/>
        <w:rPr>
          <w:rFonts w:ascii="Trebuchet MS" w:hAnsi="Trebuchet MS"/>
          <w:i/>
          <w:iCs/>
          <w:sz w:val="20"/>
          <w:szCs w:val="20"/>
        </w:rPr>
      </w:pPr>
      <w:r w:rsidRPr="00C95564">
        <w:rPr>
          <w:rFonts w:ascii="Trebuchet MS" w:hAnsi="Trebuchet MS"/>
          <w:i/>
          <w:iCs/>
          <w:sz w:val="20"/>
          <w:szCs w:val="20"/>
        </w:rPr>
        <w:t xml:space="preserve">• Remuneraciones y prestaciones a jubilados y pensionados – </w:t>
      </w:r>
    </w:p>
    <w:p w14:paraId="044B71FB" w14:textId="77777777" w:rsidR="008F631B" w:rsidRPr="00C95564" w:rsidRDefault="008F631B" w:rsidP="008F631B">
      <w:pPr>
        <w:jc w:val="both"/>
        <w:rPr>
          <w:rFonts w:ascii="Trebuchet MS" w:hAnsi="Trebuchet MS"/>
          <w:b/>
          <w:bCs/>
          <w:sz w:val="20"/>
          <w:szCs w:val="20"/>
        </w:rPr>
      </w:pPr>
      <w:r w:rsidRPr="00C95564">
        <w:rPr>
          <w:rFonts w:ascii="Trebuchet MS" w:hAnsi="Trebuchet MS"/>
          <w:b/>
          <w:bCs/>
          <w:sz w:val="20"/>
          <w:szCs w:val="20"/>
        </w:rPr>
        <w:t xml:space="preserve">Esquema ISSEG </w:t>
      </w:r>
    </w:p>
    <w:p w14:paraId="07878C72" w14:textId="7F019DFD"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jubilación: </w:t>
      </w:r>
    </w:p>
    <w:p w14:paraId="7E12E3FF"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años de edad</w:t>
      </w:r>
      <w:proofErr w:type="gramEnd"/>
      <w:r w:rsidRPr="00C95564">
        <w:rPr>
          <w:rFonts w:ascii="Trebuchet MS" w:hAnsi="Trebuchet MS"/>
          <w:sz w:val="20"/>
          <w:szCs w:val="20"/>
        </w:rPr>
        <w:t xml:space="preserve"> y que hubieran cotizado, cuando menos 28 años para mujeres y 30 para varones, tendrán derecho a una pensión por jubilación </w:t>
      </w:r>
    </w:p>
    <w:p w14:paraId="6306AF49" w14:textId="335279AE"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vejez: </w:t>
      </w:r>
    </w:p>
    <w:p w14:paraId="3B0805C7"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lastRenderedPageBreak/>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años de edad</w:t>
      </w:r>
      <w:proofErr w:type="gramEnd"/>
      <w:r w:rsidRPr="00C95564">
        <w:rPr>
          <w:rFonts w:ascii="Trebuchet MS" w:hAnsi="Trebuchet MS"/>
          <w:sz w:val="20"/>
          <w:szCs w:val="20"/>
        </w:rPr>
        <w:t xml:space="preserve"> y que hubieran cotizado cuando menos durante quince años, tendrán derecho a una pensión por vejez. </w:t>
      </w:r>
    </w:p>
    <w:p w14:paraId="4B8DDBC3"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muerte: </w:t>
      </w:r>
    </w:p>
    <w:p w14:paraId="292B8D65"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hubieran cotizado cuando menos quince años, tendrán derecho a una pensión por muerte. </w:t>
      </w:r>
    </w:p>
    <w:p w14:paraId="466671F4"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invalidez: </w:t>
      </w:r>
    </w:p>
    <w:p w14:paraId="0788286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De conformidad con la Ley de Seguridad Social del Estado de Guanajuato, para cuya observancia se constituyó el Instituto de Seguridad Social del Estado de Guanajuato, los asegurados que habiendo cumplido cinco años de cotización, tendrán derecho a una pensión por invalidez.</w:t>
      </w:r>
    </w:p>
    <w:p w14:paraId="04B30487"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UG: </w:t>
      </w:r>
    </w:p>
    <w:p w14:paraId="2F608054"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por jubilación y vejez: </w:t>
      </w:r>
    </w:p>
    <w:p w14:paraId="26EFB644" w14:textId="77777777" w:rsidR="008F631B" w:rsidRPr="00C95564" w:rsidRDefault="008F631B" w:rsidP="008F631B">
      <w:pPr>
        <w:pStyle w:val="Prrafodelista"/>
        <w:numPr>
          <w:ilvl w:val="0"/>
          <w:numId w:val="23"/>
        </w:numPr>
        <w:spacing w:after="0" w:line="240" w:lineRule="auto"/>
        <w:jc w:val="both"/>
        <w:rPr>
          <w:rFonts w:ascii="Trebuchet MS" w:hAnsi="Trebuchet MS"/>
          <w:sz w:val="20"/>
          <w:szCs w:val="20"/>
        </w:rPr>
      </w:pPr>
      <w:r w:rsidRPr="00C95564">
        <w:rPr>
          <w:rFonts w:ascii="Trebuchet MS" w:hAnsi="Trebuchet MS"/>
          <w:sz w:val="20"/>
          <w:szCs w:val="20"/>
        </w:rPr>
        <w:t xml:space="preserve">Generación con derecho adquirido. </w:t>
      </w:r>
    </w:p>
    <w:p w14:paraId="5F65633D" w14:textId="77777777" w:rsidR="008F631B" w:rsidRPr="00C95564" w:rsidRDefault="008F631B" w:rsidP="008F631B">
      <w:pPr>
        <w:pStyle w:val="Prrafodelista"/>
        <w:spacing w:after="0" w:line="240" w:lineRule="auto"/>
        <w:jc w:val="both"/>
        <w:rPr>
          <w:rFonts w:ascii="Trebuchet MS" w:hAnsi="Trebuchet MS"/>
          <w:sz w:val="20"/>
          <w:szCs w:val="20"/>
        </w:rPr>
      </w:pPr>
    </w:p>
    <w:p w14:paraId="2E9107B8" w14:textId="77777777" w:rsidR="008F631B" w:rsidRDefault="008F631B" w:rsidP="008F631B">
      <w:pPr>
        <w:pStyle w:val="Prrafodelista"/>
        <w:jc w:val="both"/>
        <w:rPr>
          <w:rFonts w:ascii="Trebuchet MS" w:hAnsi="Trebuchet MS"/>
          <w:sz w:val="20"/>
          <w:szCs w:val="20"/>
        </w:rPr>
      </w:pPr>
      <w:r w:rsidRPr="00C95564">
        <w:rPr>
          <w:rFonts w:ascii="Trebuchet MS" w:hAnsi="Trebuchet MS"/>
          <w:sz w:val="20"/>
          <w:szCs w:val="20"/>
        </w:rPr>
        <w:t>A los trabajadores que, al 31 de diciembre del año 2017, hayan adquirido el derecho a la pensión por retiro o vejez, la Universidad se obliga a cubrirles la diferencia entre la cantidad que, por seguro de retiro o la proporción por seguro de vejez, les fije el Instituto de Seguridad Social del Estado de Guanajuato y el salario más prestaciones devengados en el momento de pensionarse o el del puesto o categoría más alto ocupado en los 3 (tres) últimos años, según convenga al trabajador.</w:t>
      </w:r>
    </w:p>
    <w:p w14:paraId="33A81932" w14:textId="77777777" w:rsidR="00C95564" w:rsidRPr="00C95564" w:rsidRDefault="00C95564" w:rsidP="008F631B">
      <w:pPr>
        <w:pStyle w:val="Prrafodelista"/>
        <w:jc w:val="both"/>
        <w:rPr>
          <w:rFonts w:ascii="Trebuchet MS" w:hAnsi="Trebuchet MS"/>
          <w:sz w:val="20"/>
          <w:szCs w:val="20"/>
        </w:rPr>
      </w:pPr>
    </w:p>
    <w:p w14:paraId="52B43415" w14:textId="77777777" w:rsidR="008F631B" w:rsidRPr="00C95564" w:rsidRDefault="008F631B" w:rsidP="008F631B">
      <w:pPr>
        <w:pStyle w:val="Prrafodelista"/>
        <w:numPr>
          <w:ilvl w:val="0"/>
          <w:numId w:val="23"/>
        </w:numPr>
        <w:spacing w:after="0" w:line="240" w:lineRule="auto"/>
        <w:jc w:val="both"/>
        <w:rPr>
          <w:rFonts w:ascii="Trebuchet MS" w:hAnsi="Trebuchet MS"/>
          <w:sz w:val="20"/>
          <w:szCs w:val="20"/>
        </w:rPr>
      </w:pPr>
      <w:r w:rsidRPr="00C95564">
        <w:rPr>
          <w:rFonts w:ascii="Trebuchet MS" w:hAnsi="Trebuchet MS"/>
          <w:sz w:val="20"/>
          <w:szCs w:val="20"/>
        </w:rPr>
        <w:t xml:space="preserve">Generación en transición. </w:t>
      </w:r>
    </w:p>
    <w:p w14:paraId="5327F5E7" w14:textId="77777777" w:rsidR="008F631B" w:rsidRPr="00C95564" w:rsidRDefault="008F631B" w:rsidP="008F631B">
      <w:pPr>
        <w:pStyle w:val="Prrafodelista"/>
        <w:spacing w:after="0" w:line="240" w:lineRule="auto"/>
        <w:jc w:val="both"/>
        <w:rPr>
          <w:rFonts w:ascii="Trebuchet MS" w:hAnsi="Trebuchet MS"/>
          <w:sz w:val="20"/>
          <w:szCs w:val="20"/>
        </w:rPr>
      </w:pPr>
    </w:p>
    <w:p w14:paraId="186F4453" w14:textId="77777777"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los trabajadores que ingresaron a la universidad hasta el treinta y uno de diciembre del año 2017, se aplicará el complemento de pensión, sobre la diferencia entre la cantidad que el Instituto determine como Pensión por Jubilación y el 100 cien por ciento del promedio ponderado de los salarios integrados de los últimos tres años, actualizados conforme al tabulador o INPC, según convenga al trabajador.</w:t>
      </w:r>
    </w:p>
    <w:p w14:paraId="20322F89" w14:textId="77777777" w:rsidR="008F631B" w:rsidRPr="00C95564" w:rsidRDefault="008F631B" w:rsidP="008F631B">
      <w:pPr>
        <w:pStyle w:val="Prrafodelista"/>
        <w:jc w:val="both"/>
        <w:rPr>
          <w:rFonts w:ascii="Trebuchet MS" w:hAnsi="Trebuchet MS"/>
          <w:sz w:val="20"/>
          <w:szCs w:val="20"/>
        </w:rPr>
      </w:pPr>
    </w:p>
    <w:p w14:paraId="41A6CF07" w14:textId="77777777" w:rsidR="008F631B" w:rsidRPr="00C95564" w:rsidRDefault="008F631B" w:rsidP="008F631B">
      <w:pPr>
        <w:pStyle w:val="Prrafodelista"/>
        <w:numPr>
          <w:ilvl w:val="0"/>
          <w:numId w:val="23"/>
        </w:numPr>
        <w:spacing w:after="0" w:line="240" w:lineRule="auto"/>
        <w:jc w:val="both"/>
        <w:rPr>
          <w:rFonts w:ascii="Trebuchet MS" w:hAnsi="Trebuchet MS"/>
          <w:sz w:val="20"/>
          <w:szCs w:val="20"/>
        </w:rPr>
      </w:pPr>
      <w:r w:rsidRPr="00C95564">
        <w:rPr>
          <w:rFonts w:ascii="Trebuchet MS" w:hAnsi="Trebuchet MS"/>
          <w:sz w:val="20"/>
          <w:szCs w:val="20"/>
        </w:rPr>
        <w:t xml:space="preserve">Nuevas generaciones: </w:t>
      </w:r>
    </w:p>
    <w:p w14:paraId="499A3D58" w14:textId="77777777" w:rsidR="008F631B" w:rsidRPr="00C95564" w:rsidRDefault="008F631B" w:rsidP="008F631B">
      <w:pPr>
        <w:pStyle w:val="Prrafodelista"/>
        <w:spacing w:after="0" w:line="240" w:lineRule="auto"/>
        <w:jc w:val="both"/>
        <w:rPr>
          <w:rFonts w:ascii="Trebuchet MS" w:hAnsi="Trebuchet MS"/>
          <w:sz w:val="20"/>
          <w:szCs w:val="20"/>
        </w:rPr>
      </w:pPr>
    </w:p>
    <w:p w14:paraId="22DE18DD" w14:textId="77777777"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Pensión por Jubilación, la Universidad cubrirá al trabajador como complemento de pensión, la diferencia entre la cantidad que el ISSEG determine como Pensión por Jubilación y 93.5 por ciento del promedio ponderado de los salarios integrados de los últimos cinco años de servicio actualizado con el INPC.</w:t>
      </w:r>
    </w:p>
    <w:p w14:paraId="08B70676"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por fallecimiento: </w:t>
      </w:r>
    </w:p>
    <w:p w14:paraId="6B83329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La U.G. Se obliga a pagar a los dependientes económicos del trabajador en activo que fallezca, la diferencia entre la cantidad que por concepto de pensión o muerte les fije el I.S.E.E.G. y el 80% ochenta por ciento del salario más prestaciones asignado al puesto desempeñado por el trabajador en el momento de su fallecimiento y, a que se les cubra la diferencia calculada sobre las mismas bases cada vez que aumenten los salarios y prestaciones a los trabajadores en activo. Esta prestación será extensiva a los dependientes </w:t>
      </w:r>
      <w:r w:rsidRPr="00C95564">
        <w:rPr>
          <w:rFonts w:ascii="Trebuchet MS" w:hAnsi="Trebuchet MS"/>
          <w:sz w:val="20"/>
          <w:szCs w:val="20"/>
        </w:rPr>
        <w:lastRenderedPageBreak/>
        <w:t>económicos de los jubilados o pensionados que fallezcan, a los cuales, el ISSEG le haya reconocido derecho a pensión.</w:t>
      </w:r>
    </w:p>
    <w:p w14:paraId="23391FE1"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Es importante señalar que, con la entrada en vigor de la reforma al esquema del complemento de pensión, se estableció la obligación de pagar un complemento de pensión a los beneficiarios de personal con una antigüedad igual o superior a 5 años, y que hubieran fallecido por causas ajenas al trabajo, de acuerdo con lo dispuesto en la Cláusula Sexta del Convenio para el Financiamiento del Complemento de Pensión.</w:t>
      </w:r>
    </w:p>
    <w:p w14:paraId="55E62AC0"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Complemento de pensión por invalidez:</w:t>
      </w:r>
    </w:p>
    <w:p w14:paraId="5F49C4D9"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La universidad cubre el complemento de pensión por invalidez en los términos del artículo 44 de la Ley del ISSEG. </w:t>
      </w:r>
    </w:p>
    <w:p w14:paraId="3C4DFE76"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Indemnización por incapacidad permanente total</w:t>
      </w:r>
      <w:r w:rsidRPr="00C95564">
        <w:rPr>
          <w:rFonts w:ascii="Trebuchet MS" w:hAnsi="Trebuchet MS"/>
          <w:sz w:val="20"/>
          <w:szCs w:val="20"/>
        </w:rPr>
        <w:t xml:space="preserve">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6F25F0E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Adicionalmente, los pensionados contarán con servicio médico, y quienes hayan tenido un nombramiento mayor a 12 horas recibirán ayuda de despensa, prestaciones que serán cubiertas por la Universidad junto con las aportaciones quincenales.</w:t>
      </w:r>
    </w:p>
    <w:p w14:paraId="7C7F307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De los importes de pensión determinados conforme a los párrafos anteriores, el Instituto de Seguridad Social del Estado de Guanajuato establece el monto de pensión que cubrirá. En lo que refiere al pago del complemento de pensión a cargo de la Universidad, éste se registra en los egresos del ejercicio en que se pagan.</w:t>
      </w:r>
    </w:p>
    <w:p w14:paraId="20D12256" w14:textId="77777777" w:rsidR="008F631B" w:rsidRPr="00C95564" w:rsidRDefault="008F631B" w:rsidP="008F631B">
      <w:pPr>
        <w:jc w:val="both"/>
        <w:rPr>
          <w:rFonts w:ascii="Trebuchet MS" w:hAnsi="Trebuchet MS"/>
          <w:sz w:val="20"/>
          <w:szCs w:val="20"/>
          <w:u w:val="single"/>
        </w:rPr>
      </w:pPr>
      <w:r w:rsidRPr="00C95564">
        <w:rPr>
          <w:rFonts w:ascii="Trebuchet MS" w:hAnsi="Trebuchet MS"/>
          <w:sz w:val="20"/>
          <w:szCs w:val="20"/>
          <w:u w:val="single"/>
        </w:rPr>
        <w:t xml:space="preserve">Personal académico </w:t>
      </w:r>
    </w:p>
    <w:p w14:paraId="48533106"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antigüedad</w:t>
      </w:r>
      <w:r w:rsidRPr="00C95564">
        <w:rPr>
          <w:rFonts w:ascii="Trebuchet MS" w:hAnsi="Trebuchet MS"/>
          <w:sz w:val="20"/>
          <w:szCs w:val="20"/>
        </w:rPr>
        <w:t xml:space="preserve"> - De conformidad con el contrato colectivo de trabajo, esta prima se pagará mensualmente a partir de que el empleado cumpla cinco años de servicio en activo. Para el personal académico la prima inicial consiste en 10% adicional al sueldo, incrementándose en 2% por año trabajado hasta un máximo de 60%. Las erogaciones por primas de antigüedad se registran en los egresos del ejercicio en que se pagan. </w:t>
      </w:r>
    </w:p>
    <w:p w14:paraId="3D8C24AB"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separación</w:t>
      </w:r>
      <w:r w:rsidRPr="00C95564">
        <w:rPr>
          <w:rFonts w:ascii="Trebuchet MS" w:hAnsi="Trebuchet MS"/>
          <w:sz w:val="20"/>
          <w:szCs w:val="20"/>
        </w:rPr>
        <w:t xml:space="preserve">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66687B" w14:textId="2494D66D"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Remuneraciones y prestaciones a jubilados y pensionados – </w:t>
      </w:r>
    </w:p>
    <w:p w14:paraId="3F364E63" w14:textId="7CE36353" w:rsidR="008F631B" w:rsidRPr="00C95564" w:rsidRDefault="008F631B" w:rsidP="008F631B">
      <w:pPr>
        <w:jc w:val="both"/>
        <w:rPr>
          <w:rFonts w:ascii="Trebuchet MS" w:hAnsi="Trebuchet MS"/>
          <w:sz w:val="20"/>
          <w:szCs w:val="20"/>
        </w:rPr>
      </w:pPr>
      <w:r w:rsidRPr="00C95564">
        <w:rPr>
          <w:rFonts w:ascii="Trebuchet MS" w:hAnsi="Trebuchet MS"/>
          <w:b/>
          <w:bCs/>
          <w:sz w:val="20"/>
          <w:szCs w:val="20"/>
        </w:rPr>
        <w:t xml:space="preserve">Esquema ISSEG </w:t>
      </w:r>
    </w:p>
    <w:p w14:paraId="785FA4AE"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jubilación: </w:t>
      </w:r>
    </w:p>
    <w:p w14:paraId="417D118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 xml:space="preserve">años de </w:t>
      </w:r>
      <w:r w:rsidRPr="00C95564">
        <w:rPr>
          <w:rFonts w:ascii="Trebuchet MS" w:hAnsi="Trebuchet MS"/>
          <w:sz w:val="20"/>
          <w:szCs w:val="20"/>
        </w:rPr>
        <w:lastRenderedPageBreak/>
        <w:t>edad</w:t>
      </w:r>
      <w:proofErr w:type="gramEnd"/>
      <w:r w:rsidRPr="00C95564">
        <w:rPr>
          <w:rFonts w:ascii="Trebuchet MS" w:hAnsi="Trebuchet MS"/>
          <w:sz w:val="20"/>
          <w:szCs w:val="20"/>
        </w:rPr>
        <w:t xml:space="preserve"> y que hubieran cotizado, cuando menos 28 años para mujeres y 30 para varones, tendrán derecho a una pensión por jubilación </w:t>
      </w:r>
    </w:p>
    <w:p w14:paraId="6A69F00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vejez: </w:t>
      </w:r>
    </w:p>
    <w:p w14:paraId="7A693575"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años de edad</w:t>
      </w:r>
      <w:proofErr w:type="gramEnd"/>
      <w:r w:rsidRPr="00C95564">
        <w:rPr>
          <w:rFonts w:ascii="Trebuchet MS" w:hAnsi="Trebuchet MS"/>
          <w:sz w:val="20"/>
          <w:szCs w:val="20"/>
        </w:rPr>
        <w:t xml:space="preserve"> y que hubieran cotizado cuando menos durante quince años, tendrán derecho a una pensión por vejez. </w:t>
      </w:r>
    </w:p>
    <w:p w14:paraId="4F8D091F"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muerte: </w:t>
      </w:r>
    </w:p>
    <w:p w14:paraId="5952E0D4"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hubieran cotizado cuando menos quince años, tendrán derecho a una pensión por muerte. </w:t>
      </w:r>
    </w:p>
    <w:p w14:paraId="5B87F99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invalidez: </w:t>
      </w:r>
    </w:p>
    <w:p w14:paraId="5FE7617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De conformidad con la Ley de Seguridad Social del Estado de Guanajuato, para cuya observancia se constituyó el Instituto de Seguridad Social del Estado de Guanajuato, los asegurados que habiendo cumplido cinco años de cotización, tendrán derecho a una pensión por invalidez.</w:t>
      </w:r>
    </w:p>
    <w:p w14:paraId="12CA98AA" w14:textId="77777777" w:rsidR="008F631B" w:rsidRPr="00C95564" w:rsidRDefault="008F631B" w:rsidP="008F631B">
      <w:pPr>
        <w:jc w:val="both"/>
        <w:rPr>
          <w:rFonts w:ascii="Trebuchet MS" w:hAnsi="Trebuchet MS"/>
          <w:b/>
          <w:bCs/>
          <w:sz w:val="20"/>
          <w:szCs w:val="20"/>
        </w:rPr>
      </w:pPr>
      <w:r w:rsidRPr="00C95564">
        <w:rPr>
          <w:rFonts w:ascii="Trebuchet MS" w:hAnsi="Trebuchet MS"/>
          <w:b/>
          <w:bCs/>
          <w:sz w:val="20"/>
          <w:szCs w:val="20"/>
        </w:rPr>
        <w:t xml:space="preserve">Complemento de pensión UG: </w:t>
      </w:r>
    </w:p>
    <w:p w14:paraId="5F4750D2"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por jubilación y vejez: </w:t>
      </w:r>
    </w:p>
    <w:p w14:paraId="335709C6" w14:textId="77777777" w:rsidR="008F631B" w:rsidRPr="00C95564" w:rsidRDefault="008F631B" w:rsidP="008F631B">
      <w:pPr>
        <w:pStyle w:val="Prrafodelista"/>
        <w:numPr>
          <w:ilvl w:val="0"/>
          <w:numId w:val="22"/>
        </w:numPr>
        <w:spacing w:after="0" w:line="240" w:lineRule="auto"/>
        <w:jc w:val="both"/>
        <w:rPr>
          <w:rFonts w:ascii="Trebuchet MS" w:hAnsi="Trebuchet MS"/>
          <w:sz w:val="20"/>
          <w:szCs w:val="20"/>
        </w:rPr>
      </w:pPr>
      <w:r w:rsidRPr="00C95564">
        <w:rPr>
          <w:rFonts w:ascii="Trebuchet MS" w:hAnsi="Trebuchet MS"/>
          <w:sz w:val="20"/>
          <w:szCs w:val="20"/>
        </w:rPr>
        <w:t xml:space="preserve">Generación con derecho adquirido. </w:t>
      </w:r>
    </w:p>
    <w:p w14:paraId="0C698BEF" w14:textId="77777777" w:rsidR="008F631B" w:rsidRPr="00C95564" w:rsidRDefault="008F631B" w:rsidP="008F631B">
      <w:pPr>
        <w:pStyle w:val="Prrafodelista"/>
        <w:jc w:val="both"/>
        <w:rPr>
          <w:rFonts w:ascii="Trebuchet MS" w:hAnsi="Trebuchet MS"/>
          <w:sz w:val="20"/>
          <w:szCs w:val="20"/>
        </w:rPr>
      </w:pPr>
    </w:p>
    <w:p w14:paraId="0D67A681" w14:textId="7CF2DF32"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A los trabajadores que, al 31 de diciembre del año 2017, hayan adquirido el derecho a la pensión por retiro o vejez, la Universidad se obliga a cubrirles la diferencia entre la cantidad que, por seguro de retiro o la proporción por seguro de vejez, les fije el Instituto de Seguridad Social del Estado de Guanajuato y el salario más prestaciones devengados en el momento de pensionarse o el del puesto o categoría más alto ocupado en los 3 (tres) últimos años, según convenga al trabajador.</w:t>
      </w:r>
    </w:p>
    <w:p w14:paraId="1117D844" w14:textId="77777777" w:rsidR="008F631B" w:rsidRPr="00C95564" w:rsidRDefault="008F631B" w:rsidP="008F631B">
      <w:pPr>
        <w:pStyle w:val="Prrafodelista"/>
        <w:jc w:val="both"/>
        <w:rPr>
          <w:rFonts w:ascii="Trebuchet MS" w:hAnsi="Trebuchet MS"/>
          <w:sz w:val="20"/>
          <w:szCs w:val="20"/>
        </w:rPr>
      </w:pPr>
    </w:p>
    <w:p w14:paraId="203A727B" w14:textId="77777777" w:rsidR="008F631B" w:rsidRPr="00C95564" w:rsidRDefault="008F631B" w:rsidP="008F631B">
      <w:pPr>
        <w:pStyle w:val="Prrafodelista"/>
        <w:numPr>
          <w:ilvl w:val="0"/>
          <w:numId w:val="22"/>
        </w:numPr>
        <w:spacing w:after="0" w:line="240" w:lineRule="auto"/>
        <w:jc w:val="both"/>
        <w:rPr>
          <w:rFonts w:ascii="Trebuchet MS" w:hAnsi="Trebuchet MS"/>
          <w:sz w:val="20"/>
          <w:szCs w:val="20"/>
        </w:rPr>
      </w:pPr>
      <w:r w:rsidRPr="00C95564">
        <w:rPr>
          <w:rFonts w:ascii="Trebuchet MS" w:hAnsi="Trebuchet MS"/>
          <w:sz w:val="20"/>
          <w:szCs w:val="20"/>
        </w:rPr>
        <w:t xml:space="preserve">Generación en transición. </w:t>
      </w:r>
    </w:p>
    <w:p w14:paraId="06DA5D79" w14:textId="77777777" w:rsidR="008F631B" w:rsidRPr="00C95564" w:rsidRDefault="008F631B" w:rsidP="008F631B">
      <w:pPr>
        <w:pStyle w:val="Prrafodelista"/>
        <w:spacing w:after="0" w:line="240" w:lineRule="auto"/>
        <w:jc w:val="both"/>
        <w:rPr>
          <w:rFonts w:ascii="Trebuchet MS" w:hAnsi="Trebuchet MS"/>
          <w:sz w:val="20"/>
          <w:szCs w:val="20"/>
        </w:rPr>
      </w:pPr>
    </w:p>
    <w:p w14:paraId="1ADCE022" w14:textId="77777777"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los trabajadores que ingresaron a la universidad hasta el treinta y uno de diciembre del año 2017, se aplicará el complemento de pensión, sobre la diferencia entre la cantidad que el Instituto determine como Pensión por Jubilación y el 100 cien por ciento del promedio ponderado de los salarios integrados de los últimos tres años, actualizados conforme al tabulador o INPC, según convenga al trabajador.</w:t>
      </w:r>
    </w:p>
    <w:p w14:paraId="0380E035" w14:textId="77777777" w:rsidR="008F631B" w:rsidRPr="00C95564" w:rsidRDefault="008F631B" w:rsidP="008F631B">
      <w:pPr>
        <w:pStyle w:val="Prrafodelista"/>
        <w:jc w:val="both"/>
        <w:rPr>
          <w:rFonts w:ascii="Trebuchet MS" w:hAnsi="Trebuchet MS"/>
          <w:sz w:val="20"/>
          <w:szCs w:val="20"/>
        </w:rPr>
      </w:pPr>
    </w:p>
    <w:p w14:paraId="53F95514" w14:textId="3F452680" w:rsidR="008F631B" w:rsidRPr="00C95564" w:rsidRDefault="008F631B" w:rsidP="008F631B">
      <w:pPr>
        <w:pStyle w:val="Prrafodelista"/>
        <w:numPr>
          <w:ilvl w:val="0"/>
          <w:numId w:val="22"/>
        </w:numPr>
        <w:spacing w:after="0" w:line="240" w:lineRule="auto"/>
        <w:jc w:val="both"/>
        <w:rPr>
          <w:rFonts w:ascii="Trebuchet MS" w:hAnsi="Trebuchet MS"/>
          <w:sz w:val="20"/>
          <w:szCs w:val="20"/>
        </w:rPr>
      </w:pPr>
      <w:r w:rsidRPr="00C95564">
        <w:rPr>
          <w:rFonts w:ascii="Trebuchet MS" w:hAnsi="Trebuchet MS"/>
          <w:sz w:val="20"/>
          <w:szCs w:val="20"/>
        </w:rPr>
        <w:t xml:space="preserve">Nuevas generaciones: </w:t>
      </w:r>
    </w:p>
    <w:p w14:paraId="49E6E90E" w14:textId="77777777" w:rsidR="008F631B" w:rsidRPr="00C95564" w:rsidRDefault="008F631B" w:rsidP="008F631B">
      <w:pPr>
        <w:pStyle w:val="Prrafodelista"/>
        <w:spacing w:after="0" w:line="240" w:lineRule="auto"/>
        <w:jc w:val="both"/>
        <w:rPr>
          <w:rFonts w:ascii="Trebuchet MS" w:hAnsi="Trebuchet MS"/>
          <w:sz w:val="20"/>
          <w:szCs w:val="20"/>
        </w:rPr>
      </w:pPr>
    </w:p>
    <w:p w14:paraId="3881C47D" w14:textId="1B07D1B8" w:rsid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Pensión por Jubilación, la Universidad cubrirá al trabajador como complemento de pensión, la diferencia entre la cantidad que el ISSEG determine como Pensión por Jubilación y 93.5 por ciento del promedio ponderado de los salarios integrados de los últimos cinco años de servicio actualizado con el INPC.</w:t>
      </w:r>
    </w:p>
    <w:p w14:paraId="160551F8" w14:textId="77777777" w:rsidR="00C95564" w:rsidRDefault="00C95564">
      <w:pPr>
        <w:spacing w:after="0" w:line="240" w:lineRule="auto"/>
        <w:rPr>
          <w:rFonts w:ascii="Trebuchet MS" w:hAnsi="Trebuchet MS"/>
          <w:sz w:val="20"/>
          <w:szCs w:val="20"/>
        </w:rPr>
      </w:pPr>
      <w:r>
        <w:rPr>
          <w:rFonts w:ascii="Trebuchet MS" w:hAnsi="Trebuchet MS"/>
          <w:sz w:val="20"/>
          <w:szCs w:val="20"/>
        </w:rPr>
        <w:br w:type="page"/>
      </w:r>
    </w:p>
    <w:p w14:paraId="0C72975E" w14:textId="3A879B86" w:rsidR="008F631B" w:rsidRPr="00C95564" w:rsidRDefault="008F631B" w:rsidP="008F631B">
      <w:pPr>
        <w:jc w:val="both"/>
        <w:rPr>
          <w:rFonts w:ascii="Trebuchet MS" w:hAnsi="Trebuchet MS"/>
          <w:sz w:val="20"/>
          <w:szCs w:val="20"/>
        </w:rPr>
      </w:pPr>
      <w:r w:rsidRPr="00C95564">
        <w:rPr>
          <w:rFonts w:ascii="Trebuchet MS" w:hAnsi="Trebuchet MS"/>
          <w:sz w:val="20"/>
          <w:szCs w:val="20"/>
        </w:rPr>
        <w:lastRenderedPageBreak/>
        <w:t xml:space="preserve">Complemento de pensión por fallecimiento: </w:t>
      </w:r>
    </w:p>
    <w:p w14:paraId="23259E1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La U.G. Se obliga a pagar a los dependientes económicos del trabajador en activo que fallezca, la diferencia entre la cantidad que por concepto de pensión o muerte les fije el I.S.E.E.G. y el 80% ochenta por ciento del salario más prestaciones asignado al puesto desempeñado por el trabajador en el momento de su fallecimiento y, a que se les cubra la diferencia calculada sobre las mismas bases cada vez que aumenten los salarios y prestaciones a los trabajadores en activo. Esta prestación será extensiva a los dependientes económicos de los jubilados o pensionados que fallezcan, a los cuales, el ISSEG le haya reconocido derecho a pensión.</w:t>
      </w:r>
    </w:p>
    <w:p w14:paraId="752F4B0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Es importante señalar que, con la entrada en vigor de la reforma al esquema del complemento de pensión, se estableció la obligación de pagar un complemento de pensión a los beneficiarios de personal con una antigüedad igual o superior a 5 años, y que hubieran fallecido por causas ajenas al trabajo, de acuerdo con lo dispuesto en la Cláusula Sexta del Convenio para el Financiamiento del Complemento de Pensión.</w:t>
      </w:r>
    </w:p>
    <w:p w14:paraId="7F77313B"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Complemento de pensión por invalidez:</w:t>
      </w:r>
    </w:p>
    <w:p w14:paraId="52A6F433" w14:textId="4625592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La Universidad cubre el complemento de pensión por invalidez en los términos del artículo 44 de la Ley del ISSEG. </w:t>
      </w:r>
    </w:p>
    <w:p w14:paraId="314ECCBE"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Adicionalmente, los pensionados contarán con servicio médico, y quienes hayan tenido un nombramiento mayor a 12 horas recibirán ayuda de despensa, prestaciones que serán cubiertas por la Universidad junto con las aportaciones quincenales.</w:t>
      </w:r>
    </w:p>
    <w:p w14:paraId="2FD7687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Tope al complemento de pensión establecido en el CCT ASPAAUG.</w:t>
      </w:r>
    </w:p>
    <w:p w14:paraId="53B067C7"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La Universidad se obliga a que el personal directivo siguiente:</w:t>
      </w:r>
    </w:p>
    <w:p w14:paraId="318A1CAE"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A. Rector General;</w:t>
      </w:r>
    </w:p>
    <w:p w14:paraId="1A7AFB75"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B. </w:t>
      </w:r>
      <w:proofErr w:type="gramStart"/>
      <w:r w:rsidRPr="00C95564">
        <w:rPr>
          <w:rFonts w:ascii="Trebuchet MS" w:hAnsi="Trebuchet MS"/>
          <w:sz w:val="20"/>
          <w:szCs w:val="20"/>
        </w:rPr>
        <w:t>Secretario General</w:t>
      </w:r>
      <w:proofErr w:type="gramEnd"/>
      <w:r w:rsidRPr="00C95564">
        <w:rPr>
          <w:rFonts w:ascii="Trebuchet MS" w:hAnsi="Trebuchet MS"/>
          <w:sz w:val="20"/>
          <w:szCs w:val="20"/>
        </w:rPr>
        <w:t>;</w:t>
      </w:r>
    </w:p>
    <w:p w14:paraId="7B0D6C7A"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C. </w:t>
      </w:r>
      <w:proofErr w:type="gramStart"/>
      <w:r w:rsidRPr="00C95564">
        <w:rPr>
          <w:rFonts w:ascii="Trebuchet MS" w:hAnsi="Trebuchet MS"/>
          <w:sz w:val="20"/>
          <w:szCs w:val="20"/>
        </w:rPr>
        <w:t>Secretario</w:t>
      </w:r>
      <w:proofErr w:type="gramEnd"/>
      <w:r w:rsidRPr="00C95564">
        <w:rPr>
          <w:rFonts w:ascii="Trebuchet MS" w:hAnsi="Trebuchet MS"/>
          <w:sz w:val="20"/>
          <w:szCs w:val="20"/>
        </w:rPr>
        <w:t xml:space="preserve"> Académico;</w:t>
      </w:r>
    </w:p>
    <w:p w14:paraId="4D076E45"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D. </w:t>
      </w:r>
      <w:proofErr w:type="gramStart"/>
      <w:r w:rsidRPr="00C95564">
        <w:rPr>
          <w:rFonts w:ascii="Trebuchet MS" w:hAnsi="Trebuchet MS"/>
          <w:sz w:val="20"/>
          <w:szCs w:val="20"/>
        </w:rPr>
        <w:t>Secretario</w:t>
      </w:r>
      <w:proofErr w:type="gramEnd"/>
      <w:r w:rsidRPr="00C95564">
        <w:rPr>
          <w:rFonts w:ascii="Trebuchet MS" w:hAnsi="Trebuchet MS"/>
          <w:sz w:val="20"/>
          <w:szCs w:val="20"/>
        </w:rPr>
        <w:t xml:space="preserve"> de Gestión y Desarrollo;</w:t>
      </w:r>
    </w:p>
    <w:p w14:paraId="311E20EA"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E. </w:t>
      </w:r>
      <w:proofErr w:type="gramStart"/>
      <w:r w:rsidRPr="00C95564">
        <w:rPr>
          <w:rFonts w:ascii="Trebuchet MS" w:hAnsi="Trebuchet MS"/>
          <w:sz w:val="20"/>
          <w:szCs w:val="20"/>
        </w:rPr>
        <w:t>Directores</w:t>
      </w:r>
      <w:proofErr w:type="gramEnd"/>
      <w:r w:rsidRPr="00C95564">
        <w:rPr>
          <w:rFonts w:ascii="Trebuchet MS" w:hAnsi="Trebuchet MS"/>
          <w:sz w:val="20"/>
          <w:szCs w:val="20"/>
        </w:rPr>
        <w:t xml:space="preserve"> de la Administración de la Rectoría General;</w:t>
      </w:r>
    </w:p>
    <w:p w14:paraId="6BE16E4C"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F. Rectores y secretarios académicos de Campi; y</w:t>
      </w:r>
    </w:p>
    <w:p w14:paraId="43882DFC" w14:textId="05205D8D"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G. </w:t>
      </w:r>
      <w:proofErr w:type="gramStart"/>
      <w:r w:rsidRPr="00C95564">
        <w:rPr>
          <w:rFonts w:ascii="Trebuchet MS" w:hAnsi="Trebuchet MS"/>
          <w:sz w:val="20"/>
          <w:szCs w:val="20"/>
        </w:rPr>
        <w:t>Director</w:t>
      </w:r>
      <w:proofErr w:type="gramEnd"/>
      <w:r w:rsidRPr="00C95564">
        <w:rPr>
          <w:rFonts w:ascii="Trebuchet MS" w:hAnsi="Trebuchet MS"/>
          <w:sz w:val="20"/>
          <w:szCs w:val="20"/>
        </w:rPr>
        <w:t xml:space="preserve"> y </w:t>
      </w:r>
      <w:proofErr w:type="gramStart"/>
      <w:r w:rsidRPr="00C95564">
        <w:rPr>
          <w:rFonts w:ascii="Trebuchet MS" w:hAnsi="Trebuchet MS"/>
          <w:sz w:val="20"/>
          <w:szCs w:val="20"/>
        </w:rPr>
        <w:t>Secretario</w:t>
      </w:r>
      <w:proofErr w:type="gramEnd"/>
      <w:r w:rsidRPr="00C95564">
        <w:rPr>
          <w:rFonts w:ascii="Trebuchet MS" w:hAnsi="Trebuchet MS"/>
          <w:sz w:val="20"/>
          <w:szCs w:val="20"/>
        </w:rPr>
        <w:t xml:space="preserve"> Académico del Colegio de Nivel Medio Superior.</w:t>
      </w:r>
    </w:p>
    <w:p w14:paraId="4C713160" w14:textId="77777777" w:rsidR="008F631B" w:rsidRPr="00C95564" w:rsidRDefault="008F631B" w:rsidP="008F631B">
      <w:pPr>
        <w:jc w:val="both"/>
        <w:rPr>
          <w:rFonts w:ascii="Trebuchet MS" w:hAnsi="Trebuchet MS"/>
          <w:sz w:val="20"/>
          <w:szCs w:val="20"/>
        </w:rPr>
      </w:pPr>
    </w:p>
    <w:p w14:paraId="22D9DB2A" w14:textId="45B1AE1C" w:rsidR="008F631B" w:rsidRPr="00C95564" w:rsidRDefault="008F631B" w:rsidP="008F631B">
      <w:pPr>
        <w:jc w:val="both"/>
        <w:rPr>
          <w:rFonts w:ascii="Trebuchet MS" w:hAnsi="Trebuchet MS"/>
          <w:sz w:val="20"/>
          <w:szCs w:val="20"/>
        </w:rPr>
      </w:pPr>
      <w:r w:rsidRPr="00C95564">
        <w:rPr>
          <w:rFonts w:ascii="Trebuchet MS" w:hAnsi="Trebuchet MS"/>
          <w:sz w:val="20"/>
          <w:szCs w:val="20"/>
        </w:rPr>
        <w:t>Obtendrá como complemento de pensión la diferencia entre la cantidad que el ISSEG determine como Pensión por Jubilación y 93.5% del promedio ponderado de los salarios integrados de los últimos cinco años de servicio sin incluir el concepto de “gratificación”. El ingreso total de los pensionados con dichos puestos, incluida la pensión que otorgue el ISSEG y el complemento de pensión que otorgue la Universidad, no podrá ser superior al monto de salario tabular que corresponde a la categoría académica de Profesor de Tiempo Completo Titular C, incluida la prima de antigüedad.</w:t>
      </w:r>
    </w:p>
    <w:p w14:paraId="0CDB6F6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Indemnización por incapacidad permanente total</w:t>
      </w:r>
      <w:r w:rsidRPr="00C95564">
        <w:rPr>
          <w:rFonts w:ascii="Trebuchet MS" w:hAnsi="Trebuchet MS"/>
          <w:sz w:val="20"/>
          <w:szCs w:val="20"/>
        </w:rPr>
        <w:t xml:space="preserve">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1DB3546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lastRenderedPageBreak/>
        <w:t>Adicionalmente, los pensionados contarán con servicio médico, y quienes hayan tenido un nombramiento mayor a 12 horas recibirán ayuda de despensa, prestaciones que serán cubiertas por la Universidad junto con las aportaciones quincenales.</w:t>
      </w:r>
    </w:p>
    <w:p w14:paraId="03BAA74D" w14:textId="77777777" w:rsidR="008F631B" w:rsidRPr="00C95564" w:rsidRDefault="008F631B" w:rsidP="008F631B">
      <w:pPr>
        <w:rPr>
          <w:rFonts w:ascii="Trebuchet MS" w:hAnsi="Trebuchet MS"/>
          <w:sz w:val="20"/>
          <w:szCs w:val="20"/>
        </w:rPr>
      </w:pPr>
    </w:p>
    <w:p w14:paraId="1C1556A3" w14:textId="77777777" w:rsidR="008F631B" w:rsidRPr="00C95564" w:rsidRDefault="008F631B" w:rsidP="008F631B">
      <w:pPr>
        <w:rPr>
          <w:rFonts w:ascii="Trebuchet MS" w:hAnsi="Trebuchet MS"/>
          <w:sz w:val="20"/>
          <w:szCs w:val="20"/>
        </w:rPr>
      </w:pPr>
      <w:r w:rsidRPr="00C95564">
        <w:rPr>
          <w:rFonts w:ascii="Trebuchet MS" w:hAnsi="Trebuchet MS"/>
          <w:sz w:val="20"/>
          <w:szCs w:val="20"/>
        </w:rPr>
        <w:t>De los importes de pensión determinados conforme a los párrafos anteriores, el Instituto de Seguridad Social del Estado de Guanajuato establece el monto de pensión que cubrirá. En lo que refiere al pago del complemento de pensión a cargo de la Universidad, éste se registra en los egresos del ejercicio en que se pagan.</w:t>
      </w:r>
      <w:bookmarkStart w:id="5" w:name="OLE_LINK2"/>
      <w:bookmarkStart w:id="6" w:name="OLE_LINK3"/>
    </w:p>
    <w:p w14:paraId="79CF6C7F" w14:textId="270C408E" w:rsidR="002E7187" w:rsidRPr="00C95564" w:rsidRDefault="002E7187" w:rsidP="008F631B">
      <w:pPr>
        <w:rPr>
          <w:rFonts w:ascii="Trebuchet MS" w:hAnsi="Trebuchet MS"/>
          <w:sz w:val="20"/>
          <w:szCs w:val="20"/>
        </w:rPr>
      </w:pPr>
      <w:r w:rsidRPr="00C95564">
        <w:rPr>
          <w:rFonts w:ascii="Trebuchet MS" w:hAnsi="Trebuchet MS"/>
          <w:sz w:val="20"/>
          <w:szCs w:val="20"/>
        </w:rPr>
        <w:t xml:space="preserve">A partir del ejercicio 2025, el Consejo Nacional de Armonización Contable ha establecido a través de las Reglas de Registro y Valuación del Patrimonio, que los entes públicos deben reconocer un pasivo o una estimación por beneficios a los empleados si se </w:t>
      </w:r>
      <w:r w:rsidR="00AB2B98" w:rsidRPr="00C95564">
        <w:rPr>
          <w:rFonts w:ascii="Trebuchet MS" w:hAnsi="Trebuchet MS"/>
          <w:sz w:val="20"/>
          <w:szCs w:val="20"/>
        </w:rPr>
        <w:t>reúnen</w:t>
      </w:r>
      <w:r w:rsidRPr="00C95564">
        <w:rPr>
          <w:rFonts w:ascii="Trebuchet MS" w:hAnsi="Trebuchet MS"/>
          <w:sz w:val="20"/>
          <w:szCs w:val="20"/>
        </w:rPr>
        <w:t xml:space="preserve"> la totalidad de los siguientes criterios:</w:t>
      </w:r>
    </w:p>
    <w:p w14:paraId="0E543416"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Existe una obligación presente, legal o asumida, de efectuar pagos por beneficios a los empleados, en el futuro, como consecuencia de sucesos ocurridos en el pasado;</w:t>
      </w:r>
    </w:p>
    <w:p w14:paraId="4F5ED71B"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La obligación del ente público con los empleados es atribuible a servicios ya prestados y, por ende, dichos derechos están devengados;</w:t>
      </w:r>
    </w:p>
    <w:p w14:paraId="046EF99C"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Es probable el pago de los beneficios; y</w:t>
      </w:r>
    </w:p>
    <w:p w14:paraId="306A7E22"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El monto de los beneficios puede ser cuantificado de manera confiable.</w:t>
      </w:r>
    </w:p>
    <w:bookmarkEnd w:id="5"/>
    <w:bookmarkEnd w:id="6"/>
    <w:p w14:paraId="097A8F8B" w14:textId="77777777" w:rsidR="00C95564" w:rsidRDefault="00C95564" w:rsidP="002E7187">
      <w:pPr>
        <w:tabs>
          <w:tab w:val="left" w:leader="underscore" w:pos="9639"/>
        </w:tabs>
        <w:jc w:val="both"/>
        <w:rPr>
          <w:rFonts w:ascii="Trebuchet MS" w:hAnsi="Trebuchet MS"/>
          <w:sz w:val="20"/>
          <w:szCs w:val="20"/>
        </w:rPr>
      </w:pPr>
    </w:p>
    <w:p w14:paraId="3FA67BC8" w14:textId="65264D91" w:rsidR="002E7187" w:rsidRPr="00C95564" w:rsidRDefault="002E7187" w:rsidP="002E7187">
      <w:pPr>
        <w:tabs>
          <w:tab w:val="left" w:leader="underscore" w:pos="9639"/>
        </w:tabs>
        <w:jc w:val="both"/>
        <w:rPr>
          <w:rFonts w:ascii="Trebuchet MS" w:hAnsi="Trebuchet MS"/>
          <w:sz w:val="20"/>
          <w:szCs w:val="20"/>
        </w:rPr>
      </w:pPr>
      <w:r w:rsidRPr="00C95564">
        <w:rPr>
          <w:rFonts w:ascii="Trebuchet MS" w:hAnsi="Trebuchet MS"/>
          <w:sz w:val="20"/>
          <w:szCs w:val="20"/>
        </w:rPr>
        <w:t xml:space="preserve">Hasta este momento, el Consejo Nacional de Armonización Contable no ha emitido reglas adicionales que complementen la metodología de valuación y reconocimiento de pasivos laborales, por lo que la Universidad no ha modificado sus políticas para el reconocimiento de beneficios para </w:t>
      </w:r>
      <w:r w:rsidR="005C2C96" w:rsidRPr="00C95564">
        <w:rPr>
          <w:rFonts w:ascii="Trebuchet MS" w:hAnsi="Trebuchet MS"/>
          <w:sz w:val="20"/>
          <w:szCs w:val="20"/>
        </w:rPr>
        <w:t>sus empleados</w:t>
      </w:r>
      <w:r w:rsidRPr="00C95564">
        <w:rPr>
          <w:rFonts w:ascii="Trebuchet MS" w:hAnsi="Trebuchet MS"/>
          <w:sz w:val="20"/>
          <w:szCs w:val="20"/>
        </w:rPr>
        <w:t xml:space="preserve">. </w:t>
      </w:r>
    </w:p>
    <w:p w14:paraId="0FD6A901" w14:textId="77777777" w:rsidR="00872441" w:rsidRPr="00C95564" w:rsidRDefault="00872441" w:rsidP="00872441">
      <w:pPr>
        <w:spacing w:after="0" w:line="240" w:lineRule="auto"/>
        <w:jc w:val="both"/>
        <w:rPr>
          <w:rFonts w:ascii="Trebuchet MS" w:hAnsi="Trebuchet MS" w:cs="Arial"/>
          <w:sz w:val="20"/>
          <w:szCs w:val="20"/>
        </w:rPr>
      </w:pPr>
    </w:p>
    <w:p w14:paraId="6113C381" w14:textId="77777777" w:rsidR="007D1E76" w:rsidRPr="00C95564" w:rsidRDefault="007D1E76" w:rsidP="00CB41C4">
      <w:pPr>
        <w:tabs>
          <w:tab w:val="left" w:leader="underscore" w:pos="9639"/>
        </w:tabs>
        <w:spacing w:after="0" w:line="240" w:lineRule="auto"/>
        <w:jc w:val="both"/>
        <w:rPr>
          <w:rFonts w:ascii="Trebuchet MS" w:hAnsi="Trebuchet MS" w:cs="Calibri"/>
          <w:sz w:val="20"/>
          <w:szCs w:val="20"/>
        </w:rPr>
      </w:pPr>
      <w:r w:rsidRPr="00C95564">
        <w:rPr>
          <w:rFonts w:ascii="Trebuchet MS" w:hAnsi="Trebuchet MS" w:cs="Calibri"/>
          <w:b/>
          <w:sz w:val="20"/>
          <w:szCs w:val="20"/>
        </w:rPr>
        <w:t>f)</w:t>
      </w:r>
      <w:r w:rsidRPr="00C95564">
        <w:rPr>
          <w:rFonts w:ascii="Trebuchet MS" w:hAnsi="Trebuchet MS" w:cs="Calibri"/>
          <w:sz w:val="20"/>
          <w:szCs w:val="20"/>
        </w:rPr>
        <w:t xml:space="preserve"> Provisiones: objetivo de su creación, monto y plazo:</w:t>
      </w:r>
    </w:p>
    <w:p w14:paraId="0D0EA21F" w14:textId="77777777" w:rsidR="00765A4C" w:rsidRPr="00C95564" w:rsidRDefault="00765A4C" w:rsidP="00CB41C4">
      <w:pPr>
        <w:tabs>
          <w:tab w:val="left" w:leader="underscore" w:pos="9639"/>
        </w:tabs>
        <w:spacing w:after="0" w:line="240" w:lineRule="auto"/>
        <w:jc w:val="both"/>
        <w:rPr>
          <w:rFonts w:ascii="Trebuchet MS" w:hAnsi="Trebuchet MS" w:cs="Calibri"/>
          <w:sz w:val="20"/>
          <w:szCs w:val="20"/>
        </w:rPr>
      </w:pPr>
    </w:p>
    <w:p w14:paraId="37C172BE" w14:textId="2258C737" w:rsidR="00765A4C" w:rsidRPr="00C95564"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C95564">
        <w:rPr>
          <w:rFonts w:ascii="Trebuchet MS" w:hAnsi="Trebuchet MS"/>
          <w:sz w:val="20"/>
          <w:szCs w:val="20"/>
        </w:rPr>
        <w:t>Al 3</w:t>
      </w:r>
      <w:r w:rsidR="00A747F5" w:rsidRPr="00C95564">
        <w:rPr>
          <w:rFonts w:ascii="Trebuchet MS" w:hAnsi="Trebuchet MS"/>
          <w:sz w:val="20"/>
          <w:szCs w:val="20"/>
        </w:rPr>
        <w:t>1</w:t>
      </w:r>
      <w:r w:rsidRPr="00C95564">
        <w:rPr>
          <w:rFonts w:ascii="Trebuchet MS" w:hAnsi="Trebuchet MS"/>
          <w:sz w:val="20"/>
          <w:szCs w:val="20"/>
        </w:rPr>
        <w:t xml:space="preserve"> de </w:t>
      </w:r>
      <w:r w:rsidR="00270065">
        <w:rPr>
          <w:rFonts w:ascii="Trebuchet MS" w:hAnsi="Trebuchet MS"/>
          <w:sz w:val="20"/>
          <w:szCs w:val="20"/>
        </w:rPr>
        <w:t xml:space="preserve">marzo </w:t>
      </w:r>
      <w:r w:rsidRPr="00C95564">
        <w:rPr>
          <w:rFonts w:ascii="Trebuchet MS" w:hAnsi="Trebuchet MS"/>
          <w:sz w:val="20"/>
          <w:szCs w:val="20"/>
        </w:rPr>
        <w:t>del 202</w:t>
      </w:r>
      <w:r w:rsidR="00270065">
        <w:rPr>
          <w:rFonts w:ascii="Trebuchet MS" w:hAnsi="Trebuchet MS"/>
          <w:sz w:val="20"/>
          <w:szCs w:val="20"/>
        </w:rPr>
        <w:t>6</w:t>
      </w:r>
      <w:r w:rsidRPr="00C95564">
        <w:rPr>
          <w:rFonts w:ascii="Trebuchet MS" w:hAnsi="Trebuchet MS"/>
          <w:sz w:val="20"/>
          <w:szCs w:val="20"/>
        </w:rPr>
        <w:t xml:space="preserve"> la Universidad ha reconocido en sus provisiones $</w:t>
      </w:r>
      <w:r w:rsidR="00A747F5" w:rsidRPr="00C95564">
        <w:rPr>
          <w:rFonts w:ascii="Trebuchet MS" w:hAnsi="Trebuchet MS"/>
          <w:sz w:val="20"/>
          <w:szCs w:val="20"/>
        </w:rPr>
        <w:t>1,1</w:t>
      </w:r>
      <w:r w:rsidR="00270065">
        <w:rPr>
          <w:rFonts w:ascii="Trebuchet MS" w:hAnsi="Trebuchet MS"/>
          <w:sz w:val="20"/>
          <w:szCs w:val="20"/>
        </w:rPr>
        <w:t>08</w:t>
      </w:r>
      <w:r w:rsidR="00A747F5" w:rsidRPr="00C95564">
        <w:rPr>
          <w:rFonts w:ascii="Trebuchet MS" w:hAnsi="Trebuchet MS"/>
          <w:sz w:val="20"/>
          <w:szCs w:val="20"/>
        </w:rPr>
        <w:t>,</w:t>
      </w:r>
      <w:r w:rsidR="00270065">
        <w:rPr>
          <w:rFonts w:ascii="Trebuchet MS" w:hAnsi="Trebuchet MS"/>
          <w:sz w:val="20"/>
          <w:szCs w:val="20"/>
        </w:rPr>
        <w:t>862</w:t>
      </w:r>
      <w:r w:rsidR="00A747F5" w:rsidRPr="00C95564">
        <w:rPr>
          <w:rFonts w:ascii="Trebuchet MS" w:hAnsi="Trebuchet MS"/>
          <w:sz w:val="20"/>
          <w:szCs w:val="20"/>
        </w:rPr>
        <w:t>,</w:t>
      </w:r>
      <w:r w:rsidR="00270065">
        <w:rPr>
          <w:rFonts w:ascii="Trebuchet MS" w:hAnsi="Trebuchet MS"/>
          <w:sz w:val="20"/>
          <w:szCs w:val="20"/>
        </w:rPr>
        <w:t>681</w:t>
      </w:r>
      <w:r w:rsidR="00A747F5" w:rsidRPr="00C95564">
        <w:rPr>
          <w:rFonts w:ascii="Trebuchet MS" w:hAnsi="Trebuchet MS"/>
          <w:sz w:val="20"/>
          <w:szCs w:val="20"/>
        </w:rPr>
        <w:t xml:space="preserve"> </w:t>
      </w:r>
      <w:r w:rsidRPr="00C95564">
        <w:rPr>
          <w:rFonts w:ascii="Trebuchet MS" w:hAnsi="Trebuchet MS"/>
          <w:sz w:val="20"/>
          <w:szCs w:val="20"/>
        </w:rPr>
        <w:t xml:space="preserve">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6B5FB91E" w14:textId="77777777" w:rsidR="00B27F13" w:rsidRPr="00C95564" w:rsidRDefault="00B27F13" w:rsidP="00765A4C">
      <w:pPr>
        <w:tabs>
          <w:tab w:val="left" w:pos="1134"/>
          <w:tab w:val="left" w:pos="6379"/>
          <w:tab w:val="right" w:pos="7655"/>
          <w:tab w:val="left" w:pos="8080"/>
          <w:tab w:val="right" w:pos="9356"/>
        </w:tabs>
        <w:spacing w:after="0"/>
        <w:jc w:val="both"/>
        <w:rPr>
          <w:rFonts w:ascii="Trebuchet MS" w:hAnsi="Trebuchet MS"/>
          <w:sz w:val="20"/>
          <w:szCs w:val="20"/>
        </w:rPr>
      </w:pPr>
    </w:p>
    <w:p w14:paraId="2A07CA30" w14:textId="6ED58190" w:rsidR="00DA41EC" w:rsidRPr="00C95564"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C95564">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w:t>
      </w:r>
      <w:r w:rsidRPr="00DA41EC">
        <w:rPr>
          <w:rFonts w:ascii="Trebuchet MS" w:hAnsi="Trebuchet MS"/>
          <w:sz w:val="20"/>
          <w:szCs w:val="20"/>
        </w:rPr>
        <w:t>, es importante mencionar que durante el periodo comprendido del 1 de enero al 3</w:t>
      </w:r>
      <w:r w:rsidR="00293E42" w:rsidRPr="00DA41EC">
        <w:rPr>
          <w:rFonts w:ascii="Trebuchet MS" w:hAnsi="Trebuchet MS"/>
          <w:sz w:val="20"/>
          <w:szCs w:val="20"/>
        </w:rPr>
        <w:t>1</w:t>
      </w:r>
      <w:r w:rsidRPr="00DA41EC">
        <w:rPr>
          <w:rFonts w:ascii="Trebuchet MS" w:hAnsi="Trebuchet MS"/>
          <w:sz w:val="20"/>
          <w:szCs w:val="20"/>
        </w:rPr>
        <w:t xml:space="preserve"> de </w:t>
      </w:r>
      <w:r w:rsidR="00270065" w:rsidRPr="00DA41EC">
        <w:rPr>
          <w:rFonts w:ascii="Trebuchet MS" w:hAnsi="Trebuchet MS"/>
          <w:sz w:val="20"/>
          <w:szCs w:val="20"/>
        </w:rPr>
        <w:t>marzo</w:t>
      </w:r>
      <w:r w:rsidR="00293E42" w:rsidRPr="00DA41EC">
        <w:rPr>
          <w:rFonts w:ascii="Trebuchet MS" w:hAnsi="Trebuchet MS"/>
          <w:sz w:val="20"/>
          <w:szCs w:val="20"/>
        </w:rPr>
        <w:t xml:space="preserve"> </w:t>
      </w:r>
      <w:r w:rsidR="009E6FD1" w:rsidRPr="00DA41EC">
        <w:rPr>
          <w:rFonts w:ascii="Trebuchet MS" w:hAnsi="Trebuchet MS"/>
          <w:sz w:val="20"/>
          <w:szCs w:val="20"/>
        </w:rPr>
        <w:t>del 202</w:t>
      </w:r>
      <w:r w:rsidR="00270065" w:rsidRPr="00DA41EC">
        <w:rPr>
          <w:rFonts w:ascii="Trebuchet MS" w:hAnsi="Trebuchet MS"/>
          <w:sz w:val="20"/>
          <w:szCs w:val="20"/>
        </w:rPr>
        <w:t>6</w:t>
      </w:r>
      <w:r w:rsidR="00DA41EC">
        <w:rPr>
          <w:rFonts w:ascii="Trebuchet MS" w:hAnsi="Trebuchet MS"/>
          <w:sz w:val="20"/>
          <w:szCs w:val="20"/>
        </w:rPr>
        <w:t xml:space="preserve"> se realizó una disminución por un monto de $36,061,540.00, dicho movimiento fue aprobado en la Primera Sesión Extraordinaria 2026 del Comité Técnico del Fideicomiso de Inversión y Administración del Fondo de Pensiones y Jubilaciones de los Trabajadores de la Universidad de Guanajuato, con la intención e solventar observación realizada por parte de la Auditoría Superior de la Federación como resultado de su revisión a la Cuenta Pública 2024.</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470A514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8F33F3E" w14:textId="77777777" w:rsidR="00CB0F4E" w:rsidRDefault="00CB0F4E" w:rsidP="00CB41C4">
      <w:pPr>
        <w:tabs>
          <w:tab w:val="left" w:leader="underscore" w:pos="9639"/>
        </w:tabs>
        <w:spacing w:after="0" w:line="240" w:lineRule="auto"/>
        <w:jc w:val="both"/>
        <w:rPr>
          <w:rFonts w:cs="Calibri"/>
        </w:rPr>
      </w:pPr>
    </w:p>
    <w:p w14:paraId="21725EF7" w14:textId="77777777" w:rsidR="00CB0F4E" w:rsidRPr="00CB0F4E" w:rsidRDefault="00CB0F4E" w:rsidP="00CB0F4E">
      <w:pPr>
        <w:tabs>
          <w:tab w:val="left" w:leader="underscore" w:pos="9639"/>
        </w:tabs>
        <w:jc w:val="both"/>
        <w:rPr>
          <w:rFonts w:ascii="Trebuchet MS" w:hAnsi="Trebuchet MS"/>
          <w:sz w:val="20"/>
          <w:szCs w:val="20"/>
        </w:rPr>
      </w:pPr>
      <w:r w:rsidRPr="00CB0F4E">
        <w:rPr>
          <w:rFonts w:ascii="Trebuchet MS" w:hAnsi="Trebuchet MS"/>
          <w:sz w:val="20"/>
          <w:szCs w:val="20"/>
        </w:rPr>
        <w:t xml:space="preserve">La Universidad determina una estimación para cuentas incobrables con base en estudios realizados por la propia Administración lo cual considera suficiente para absorber pérdidas por la actualización de dicha </w:t>
      </w:r>
      <w:r w:rsidRPr="00CB0F4E">
        <w:rPr>
          <w:rFonts w:ascii="Trebuchet MS" w:hAnsi="Trebuchet MS"/>
          <w:sz w:val="20"/>
          <w:szCs w:val="20"/>
        </w:rPr>
        <w:lastRenderedPageBreak/>
        <w:t>estimación al cierre del ejercicio. Las premisas para la determinación de la estimación de cuentas incobrables se aplican cuando se actualizan los siguientes supuestos:</w:t>
      </w:r>
    </w:p>
    <w:p w14:paraId="321B44F1"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saldos a cargo empleados inactivos.</w:t>
      </w:r>
    </w:p>
    <w:p w14:paraId="5B30B2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 xml:space="preserve">33% sobre cuentas sin movimientos durante los últimos 12 meses. </w:t>
      </w:r>
    </w:p>
    <w:p w14:paraId="763FE0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67% sobre cuentas sin movimientos durante los últimos 24 meses.</w:t>
      </w:r>
    </w:p>
    <w:p w14:paraId="0B97A7E6"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cuentas sin movimientos durante los últimos 36 meses.</w:t>
      </w:r>
    </w:p>
    <w:p w14:paraId="7B37C943" w14:textId="77777777" w:rsidR="00CB0F4E" w:rsidRDefault="00CB0F4E" w:rsidP="00CB0F4E">
      <w:pPr>
        <w:autoSpaceDE w:val="0"/>
        <w:autoSpaceDN w:val="0"/>
        <w:adjustRightInd w:val="0"/>
        <w:spacing w:after="0" w:line="240" w:lineRule="auto"/>
        <w:jc w:val="both"/>
        <w:rPr>
          <w:rFonts w:ascii="Trebuchet MS" w:hAnsi="Trebuchet MS"/>
          <w:sz w:val="20"/>
          <w:szCs w:val="20"/>
        </w:rPr>
      </w:pPr>
    </w:p>
    <w:p w14:paraId="2FF6231F" w14:textId="1263015B" w:rsidR="00765A4C"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La actualización de la estimación de cuentas incobrables se reconoce en resultados dentro del rubro de estimaciones, depreciaciones, deterioros, obsolescencia y amortizaciones.</w:t>
      </w:r>
    </w:p>
    <w:p w14:paraId="35525EB2" w14:textId="77777777" w:rsidR="00CB0F4E" w:rsidRDefault="00CB0F4E" w:rsidP="00765A4C">
      <w:pPr>
        <w:autoSpaceDE w:val="0"/>
        <w:autoSpaceDN w:val="0"/>
        <w:adjustRightInd w:val="0"/>
        <w:spacing w:after="0" w:line="240" w:lineRule="auto"/>
        <w:jc w:val="both"/>
        <w:rPr>
          <w:rFonts w:ascii="Trebuchet MS" w:hAnsi="Trebuchet MS"/>
          <w:sz w:val="20"/>
          <w:szCs w:val="20"/>
        </w:rPr>
      </w:pPr>
    </w:p>
    <w:p w14:paraId="6E497DBB" w14:textId="77777777" w:rsidR="007D1E76" w:rsidRPr="00303ED7" w:rsidRDefault="007D1E76" w:rsidP="00CB41C4">
      <w:pPr>
        <w:tabs>
          <w:tab w:val="left" w:leader="underscore" w:pos="9639"/>
        </w:tabs>
        <w:spacing w:after="0" w:line="240" w:lineRule="auto"/>
        <w:jc w:val="both"/>
        <w:rPr>
          <w:rFonts w:ascii="Trebuchet MS" w:hAnsi="Trebuchet MS" w:cs="Calibri"/>
          <w:sz w:val="20"/>
          <w:szCs w:val="20"/>
        </w:rPr>
      </w:pPr>
      <w:r w:rsidRPr="00303ED7">
        <w:rPr>
          <w:rFonts w:ascii="Trebuchet MS" w:hAnsi="Trebuchet MS" w:cs="Calibri"/>
          <w:b/>
          <w:sz w:val="20"/>
          <w:szCs w:val="20"/>
        </w:rPr>
        <w:t>h)</w:t>
      </w:r>
      <w:r w:rsidRPr="00303ED7">
        <w:rPr>
          <w:rFonts w:ascii="Trebuchet MS" w:hAnsi="Trebuchet MS" w:cs="Calibri"/>
          <w:sz w:val="20"/>
          <w:szCs w:val="20"/>
        </w:rPr>
        <w:t xml:space="preserve"> Cambios en políticas contables y corrección de errores junto con la revelación de los efectos que se tendrá en la información financiera del ente público, ya sea retrospectivos o prospectivos:</w:t>
      </w:r>
    </w:p>
    <w:p w14:paraId="04782679" w14:textId="77777777" w:rsidR="00303ED7" w:rsidRPr="00303ED7" w:rsidRDefault="00303ED7" w:rsidP="00303ED7">
      <w:pPr>
        <w:tabs>
          <w:tab w:val="left" w:leader="underscore" w:pos="9639"/>
        </w:tabs>
        <w:spacing w:after="0" w:line="240" w:lineRule="auto"/>
        <w:jc w:val="both"/>
        <w:rPr>
          <w:rFonts w:ascii="Trebuchet MS" w:hAnsi="Trebuchet MS" w:cs="Calibri"/>
          <w:sz w:val="20"/>
          <w:szCs w:val="20"/>
        </w:rPr>
      </w:pPr>
    </w:p>
    <w:p w14:paraId="7470EA60" w14:textId="1C5F060F" w:rsidR="00303ED7" w:rsidRDefault="00303ED7" w:rsidP="00303ED7">
      <w:pPr>
        <w:tabs>
          <w:tab w:val="left" w:leader="underscore" w:pos="9639"/>
        </w:tabs>
        <w:spacing w:after="0" w:line="240" w:lineRule="auto"/>
        <w:jc w:val="both"/>
        <w:rPr>
          <w:rFonts w:ascii="Trebuchet MS" w:hAnsi="Trebuchet MS" w:cs="Calibri"/>
          <w:sz w:val="20"/>
          <w:szCs w:val="20"/>
        </w:rPr>
      </w:pPr>
      <w:r w:rsidRPr="00303ED7">
        <w:rPr>
          <w:rFonts w:ascii="Trebuchet MS" w:hAnsi="Trebuchet MS" w:cs="Calibri"/>
          <w:sz w:val="20"/>
          <w:szCs w:val="20"/>
        </w:rPr>
        <w:t>En septiembre de 1997, se autorizaron las Políticas para el Otorgamiento de Servicios Médicos a través de la Red Médica Universitaria, que establecieron la obligación de las personas trabajadoras universitarias de realizar una aportación económica proporcional para cubrir parcialmente los gastos derivados de los servicios médicos otorgados por la RMU.</w:t>
      </w:r>
    </w:p>
    <w:p w14:paraId="1AA2FBDE" w14:textId="77777777" w:rsidR="00303ED7" w:rsidRPr="00303ED7" w:rsidRDefault="00303ED7" w:rsidP="00303ED7">
      <w:pPr>
        <w:tabs>
          <w:tab w:val="left" w:leader="underscore" w:pos="9639"/>
        </w:tabs>
        <w:spacing w:after="0" w:line="240" w:lineRule="auto"/>
        <w:jc w:val="both"/>
        <w:rPr>
          <w:rFonts w:ascii="Trebuchet MS" w:hAnsi="Trebuchet MS" w:cs="Calibri"/>
          <w:sz w:val="20"/>
          <w:szCs w:val="20"/>
        </w:rPr>
      </w:pPr>
    </w:p>
    <w:p w14:paraId="33251E3D" w14:textId="77777777" w:rsidR="00303ED7" w:rsidRPr="00303ED7" w:rsidRDefault="00303ED7" w:rsidP="00303ED7">
      <w:pPr>
        <w:tabs>
          <w:tab w:val="left" w:leader="underscore" w:pos="9639"/>
        </w:tabs>
        <w:spacing w:after="0" w:line="240" w:lineRule="auto"/>
        <w:jc w:val="both"/>
        <w:rPr>
          <w:rFonts w:ascii="Trebuchet MS" w:hAnsi="Trebuchet MS" w:cs="Calibri"/>
          <w:sz w:val="20"/>
          <w:szCs w:val="20"/>
        </w:rPr>
      </w:pPr>
      <w:r w:rsidRPr="00303ED7">
        <w:rPr>
          <w:rFonts w:ascii="Trebuchet MS" w:hAnsi="Trebuchet MS" w:cs="Calibri"/>
          <w:sz w:val="20"/>
          <w:szCs w:val="20"/>
        </w:rPr>
        <w:t>En este contexto, al tratarse de recursos aportados por las personas trabajadoras universitarias, dichos importes debieron reconocerse contablemente como ingresos.</w:t>
      </w:r>
    </w:p>
    <w:p w14:paraId="5244CC7E" w14:textId="3205D670" w:rsidR="00303ED7" w:rsidRPr="00303ED7" w:rsidRDefault="00303ED7" w:rsidP="00303ED7">
      <w:pPr>
        <w:tabs>
          <w:tab w:val="left" w:leader="underscore" w:pos="9639"/>
        </w:tabs>
        <w:spacing w:after="0" w:line="240" w:lineRule="auto"/>
        <w:jc w:val="both"/>
        <w:rPr>
          <w:rFonts w:ascii="Trebuchet MS" w:hAnsi="Trebuchet MS" w:cs="Calibri"/>
          <w:sz w:val="20"/>
          <w:szCs w:val="20"/>
        </w:rPr>
      </w:pPr>
      <w:r w:rsidRPr="00303ED7">
        <w:rPr>
          <w:rFonts w:ascii="Trebuchet MS" w:hAnsi="Trebuchet MS" w:cs="Calibri"/>
          <w:sz w:val="20"/>
          <w:szCs w:val="20"/>
        </w:rPr>
        <w:t>No obstante, a partir del ejercicio 2013 las aportaciones de la RMU fueron registradas como cuentas por cobrar, disminuyendo el gasto del periodo</w:t>
      </w:r>
    </w:p>
    <w:p w14:paraId="50AB5983" w14:textId="77777777" w:rsidR="00303ED7" w:rsidRPr="00303ED7" w:rsidRDefault="00303ED7" w:rsidP="00CB41C4">
      <w:pPr>
        <w:tabs>
          <w:tab w:val="left" w:leader="underscore" w:pos="9639"/>
        </w:tabs>
        <w:spacing w:after="0" w:line="240" w:lineRule="auto"/>
        <w:jc w:val="both"/>
        <w:rPr>
          <w:rFonts w:ascii="Trebuchet MS" w:hAnsi="Trebuchet MS" w:cs="Calibri"/>
          <w:sz w:val="20"/>
          <w:szCs w:val="20"/>
        </w:rPr>
      </w:pPr>
    </w:p>
    <w:p w14:paraId="0A3F1018" w14:textId="026A1A09" w:rsidR="00303ED7" w:rsidRPr="00303ED7" w:rsidRDefault="00303ED7" w:rsidP="00CB0F4E">
      <w:pPr>
        <w:autoSpaceDE w:val="0"/>
        <w:autoSpaceDN w:val="0"/>
        <w:adjustRightInd w:val="0"/>
        <w:spacing w:after="0" w:line="240" w:lineRule="auto"/>
        <w:jc w:val="both"/>
        <w:rPr>
          <w:rFonts w:ascii="Trebuchet MS" w:hAnsi="Trebuchet MS"/>
          <w:sz w:val="20"/>
          <w:szCs w:val="20"/>
        </w:rPr>
      </w:pPr>
      <w:r w:rsidRPr="00303ED7">
        <w:rPr>
          <w:rFonts w:ascii="Trebuchet MS" w:hAnsi="Trebuchet MS"/>
          <w:sz w:val="20"/>
          <w:szCs w:val="20"/>
        </w:rPr>
        <w:t xml:space="preserve">El 11 de diciembre del </w:t>
      </w:r>
      <w:r w:rsidR="00DA41EC" w:rsidRPr="00303ED7">
        <w:rPr>
          <w:rFonts w:ascii="Trebuchet MS" w:hAnsi="Trebuchet MS"/>
          <w:sz w:val="20"/>
          <w:szCs w:val="20"/>
        </w:rPr>
        <w:t>202</w:t>
      </w:r>
      <w:r w:rsidRPr="00303ED7">
        <w:rPr>
          <w:rFonts w:ascii="Trebuchet MS" w:hAnsi="Trebuchet MS"/>
          <w:sz w:val="20"/>
          <w:szCs w:val="20"/>
        </w:rPr>
        <w:t>5</w:t>
      </w:r>
      <w:r w:rsidR="00DA41EC" w:rsidRPr="00303ED7">
        <w:rPr>
          <w:rFonts w:ascii="Trebuchet MS" w:hAnsi="Trebuchet MS"/>
          <w:sz w:val="20"/>
          <w:szCs w:val="20"/>
        </w:rPr>
        <w:t>, se</w:t>
      </w:r>
      <w:r w:rsidRPr="00303ED7">
        <w:rPr>
          <w:rFonts w:ascii="Trebuchet MS" w:hAnsi="Trebuchet MS"/>
          <w:sz w:val="20"/>
          <w:szCs w:val="20"/>
        </w:rPr>
        <w:t xml:space="preserve"> aprobaron las nuevas políticas de la Red Médica Universitaria, con vigencia a partir del 1 de enero del 2026. Con el propósito de alinear el registro Contable-Presupuestal de la Universidad de Guanajuato a lo dispuesto </w:t>
      </w:r>
      <w:r w:rsidRPr="00303ED7">
        <w:rPr>
          <w:rFonts w:ascii="Trebuchet MS" w:hAnsi="Trebuchet MS"/>
          <w:sz w:val="20"/>
          <w:szCs w:val="20"/>
        </w:rPr>
        <w:t>por la Ley General de Contabilidad Gubernamental en su artículo 34, así como a las Normas y Metodología para la Determinación de los Momentos Contables de los Ingresos, emitidas por el Consejo Nacional de Armonización Contable, se establece el reconocer como ingresos los importes acumulados en la cuenta por cobrar derivados de las aportaciones pendientes de las personas trabajadoras.</w:t>
      </w:r>
    </w:p>
    <w:p w14:paraId="5C31979F" w14:textId="77777777" w:rsidR="00CB0F4E" w:rsidRDefault="00CB0F4E" w:rsidP="00765A4C">
      <w:pPr>
        <w:tabs>
          <w:tab w:val="left" w:leader="underscore" w:pos="9639"/>
        </w:tabs>
        <w:spacing w:after="0" w:line="240" w:lineRule="auto"/>
        <w:jc w:val="both"/>
      </w:pPr>
    </w:p>
    <w:p w14:paraId="4342A110" w14:textId="48075415" w:rsidR="007D1E76" w:rsidRDefault="007D1E76" w:rsidP="00765A4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w:t>
      </w:r>
    </w:p>
    <w:p w14:paraId="66AFF7B1" w14:textId="77777777" w:rsidR="00765A4C" w:rsidRDefault="00765A4C" w:rsidP="00765A4C">
      <w:pPr>
        <w:tabs>
          <w:tab w:val="left" w:leader="underscore" w:pos="9639"/>
        </w:tabs>
        <w:spacing w:after="0" w:line="240" w:lineRule="auto"/>
        <w:jc w:val="both"/>
        <w:rPr>
          <w:rFonts w:cs="Calibri"/>
        </w:rPr>
      </w:pPr>
    </w:p>
    <w:p w14:paraId="6E29C8B6" w14:textId="4B7F2F74" w:rsidR="007D1E76" w:rsidRPr="00DA41EC" w:rsidRDefault="00CB0F4E" w:rsidP="00CB0F4E">
      <w:pPr>
        <w:tabs>
          <w:tab w:val="left" w:leader="underscore" w:pos="9639"/>
        </w:tabs>
        <w:spacing w:after="0" w:line="240" w:lineRule="auto"/>
        <w:jc w:val="both"/>
        <w:rPr>
          <w:rFonts w:ascii="Trebuchet MS" w:hAnsi="Trebuchet MS"/>
          <w:sz w:val="20"/>
          <w:szCs w:val="20"/>
        </w:rPr>
      </w:pPr>
      <w:r w:rsidRPr="00DA41EC">
        <w:rPr>
          <w:rFonts w:ascii="Trebuchet MS" w:hAnsi="Trebuchet MS"/>
          <w:sz w:val="20"/>
          <w:szCs w:val="20"/>
        </w:rPr>
        <w:t>Durante el ejercicio que concluyó el 3</w:t>
      </w:r>
      <w:r w:rsidR="00293E42" w:rsidRPr="00DA41EC">
        <w:rPr>
          <w:rFonts w:ascii="Trebuchet MS" w:hAnsi="Trebuchet MS"/>
          <w:sz w:val="20"/>
          <w:szCs w:val="20"/>
        </w:rPr>
        <w:t>1</w:t>
      </w:r>
      <w:r w:rsidRPr="00DA41EC">
        <w:rPr>
          <w:rFonts w:ascii="Trebuchet MS" w:hAnsi="Trebuchet MS"/>
          <w:sz w:val="20"/>
          <w:szCs w:val="20"/>
        </w:rPr>
        <w:t xml:space="preserve"> de </w:t>
      </w:r>
      <w:r w:rsidR="00293E42" w:rsidRPr="00DA41EC">
        <w:rPr>
          <w:rFonts w:ascii="Trebuchet MS" w:hAnsi="Trebuchet MS"/>
          <w:sz w:val="20"/>
          <w:szCs w:val="20"/>
        </w:rPr>
        <w:t xml:space="preserve">diciembre </w:t>
      </w:r>
      <w:r w:rsidRPr="00DA41EC">
        <w:rPr>
          <w:rFonts w:ascii="Trebuchet MS" w:hAnsi="Trebuchet MS"/>
          <w:sz w:val="20"/>
          <w:szCs w:val="20"/>
        </w:rPr>
        <w:t>de 202</w:t>
      </w:r>
      <w:r w:rsidR="00D86C2E" w:rsidRPr="00DA41EC">
        <w:rPr>
          <w:rFonts w:ascii="Trebuchet MS" w:hAnsi="Trebuchet MS"/>
          <w:sz w:val="20"/>
          <w:szCs w:val="20"/>
        </w:rPr>
        <w:t>5</w:t>
      </w:r>
      <w:r w:rsidRPr="00DA41EC">
        <w:rPr>
          <w:rFonts w:ascii="Trebuchet MS" w:hAnsi="Trebuchet MS"/>
          <w:sz w:val="20"/>
          <w:szCs w:val="20"/>
        </w:rPr>
        <w:t xml:space="preserve">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25E8E651" w14:textId="77777777" w:rsidR="00CB0F4E" w:rsidRPr="00DA41EC" w:rsidRDefault="00CB0F4E" w:rsidP="00CB41C4">
      <w:pPr>
        <w:tabs>
          <w:tab w:val="left" w:leader="underscore" w:pos="9639"/>
        </w:tabs>
        <w:spacing w:after="0" w:line="240" w:lineRule="auto"/>
        <w:jc w:val="both"/>
        <w:rPr>
          <w:rFonts w:cs="Calibri"/>
          <w:b/>
        </w:rPr>
      </w:pPr>
    </w:p>
    <w:p w14:paraId="5405EF84" w14:textId="120A0830" w:rsidR="007D1E76" w:rsidRPr="00DA41EC" w:rsidRDefault="007D1E76" w:rsidP="00CB41C4">
      <w:pPr>
        <w:tabs>
          <w:tab w:val="left" w:leader="underscore" w:pos="9639"/>
        </w:tabs>
        <w:spacing w:after="0" w:line="240" w:lineRule="auto"/>
        <w:jc w:val="both"/>
        <w:rPr>
          <w:rFonts w:cs="Calibri"/>
        </w:rPr>
      </w:pPr>
      <w:r w:rsidRPr="00DA41EC">
        <w:rPr>
          <w:rFonts w:cs="Calibri"/>
          <w:b/>
        </w:rPr>
        <w:t>j)</w:t>
      </w:r>
      <w:r w:rsidRPr="00DA41EC">
        <w:rPr>
          <w:rFonts w:cs="Calibri"/>
        </w:rPr>
        <w:t xml:space="preserve"> Depuración y cancelación de saldos:</w:t>
      </w:r>
    </w:p>
    <w:p w14:paraId="4D417FD2" w14:textId="77777777" w:rsidR="00CB0F4E" w:rsidRPr="00DA41EC" w:rsidRDefault="00CB0F4E" w:rsidP="00765A4C">
      <w:pPr>
        <w:autoSpaceDE w:val="0"/>
        <w:autoSpaceDN w:val="0"/>
        <w:adjustRightInd w:val="0"/>
        <w:spacing w:after="0" w:line="240" w:lineRule="auto"/>
        <w:rPr>
          <w:rFonts w:ascii="Trebuchet MS" w:hAnsi="Trebuchet MS"/>
          <w:sz w:val="20"/>
          <w:szCs w:val="20"/>
        </w:rPr>
      </w:pPr>
    </w:p>
    <w:p w14:paraId="044EE75B" w14:textId="20D7A712" w:rsidR="00B27F13" w:rsidRPr="00DA41EC" w:rsidRDefault="00765A4C" w:rsidP="00765A4C">
      <w:pPr>
        <w:autoSpaceDE w:val="0"/>
        <w:autoSpaceDN w:val="0"/>
        <w:adjustRightInd w:val="0"/>
        <w:spacing w:after="0" w:line="240" w:lineRule="auto"/>
        <w:rPr>
          <w:rFonts w:ascii="Trebuchet MS" w:hAnsi="Trebuchet MS"/>
          <w:sz w:val="20"/>
          <w:szCs w:val="20"/>
        </w:rPr>
      </w:pPr>
      <w:r w:rsidRPr="00DA41EC">
        <w:rPr>
          <w:rFonts w:ascii="Trebuchet MS" w:hAnsi="Trebuchet MS"/>
          <w:sz w:val="20"/>
          <w:szCs w:val="20"/>
        </w:rPr>
        <w:t>La Universidad está llevando a cabo un análisis de todas las cuentas necesarias para el registro contable de las operaciones presupuestarias y contables, clasificadas en activo, pasivo y hacienda pública o patrimonio, y de resultados.</w:t>
      </w:r>
    </w:p>
    <w:p w14:paraId="0C313270" w14:textId="2A5107EA" w:rsidR="00303ED7" w:rsidRDefault="00303ED7">
      <w:pPr>
        <w:spacing w:after="0" w:line="240" w:lineRule="auto"/>
        <w:rPr>
          <w:rFonts w:ascii="Trebuchet MS" w:hAnsi="Trebuchet MS"/>
          <w:sz w:val="20"/>
          <w:szCs w:val="20"/>
          <w:highlight w:val="yellow"/>
        </w:rPr>
      </w:pPr>
      <w:r>
        <w:rPr>
          <w:rFonts w:ascii="Trebuchet MS" w:hAnsi="Trebuchet MS"/>
          <w:sz w:val="20"/>
          <w:szCs w:val="20"/>
          <w:highlight w:val="yellow"/>
        </w:rPr>
        <w:br w:type="page"/>
      </w:r>
    </w:p>
    <w:p w14:paraId="01A95B40" w14:textId="77777777" w:rsidR="00B27F13" w:rsidRPr="0042336D" w:rsidRDefault="00B27F13">
      <w:pPr>
        <w:spacing w:after="0" w:line="240" w:lineRule="auto"/>
        <w:rPr>
          <w:rFonts w:ascii="Trebuchet MS" w:hAnsi="Trebuchet MS"/>
          <w:sz w:val="20"/>
          <w:szCs w:val="20"/>
          <w:highlight w:val="yellow"/>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7"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33BF1D2" w14:textId="77777777" w:rsidR="00765A4C" w:rsidRPr="00E74967" w:rsidRDefault="00765A4C" w:rsidP="00CB41C4">
      <w:pPr>
        <w:tabs>
          <w:tab w:val="left" w:leader="underscore" w:pos="9639"/>
        </w:tabs>
        <w:spacing w:after="0" w:line="240" w:lineRule="auto"/>
        <w:jc w:val="both"/>
        <w:rPr>
          <w:rFonts w:cs="Calibri"/>
        </w:rPr>
      </w:pPr>
    </w:p>
    <w:tbl>
      <w:tblPr>
        <w:tblW w:w="4200" w:type="dxa"/>
        <w:jc w:val="center"/>
        <w:tblCellMar>
          <w:left w:w="70" w:type="dxa"/>
          <w:right w:w="70" w:type="dxa"/>
        </w:tblCellMar>
        <w:tblLook w:val="04A0" w:firstRow="1" w:lastRow="0" w:firstColumn="1" w:lastColumn="0" w:noHBand="0" w:noVBand="1"/>
      </w:tblPr>
      <w:tblGrid>
        <w:gridCol w:w="1860"/>
        <w:gridCol w:w="2340"/>
      </w:tblGrid>
      <w:tr w:rsidR="00765A4C" w:rsidRPr="002560C2" w14:paraId="19AB7CFE" w14:textId="77777777" w:rsidTr="006063CA">
        <w:trPr>
          <w:trHeight w:val="315"/>
          <w:jc w:val="center"/>
        </w:trPr>
        <w:tc>
          <w:tcPr>
            <w:tcW w:w="1860" w:type="dxa"/>
            <w:tcBorders>
              <w:top w:val="single" w:sz="8" w:space="0" w:color="auto"/>
              <w:left w:val="single" w:sz="8" w:space="0" w:color="auto"/>
              <w:bottom w:val="single" w:sz="8" w:space="0" w:color="auto"/>
              <w:right w:val="single" w:sz="8" w:space="0" w:color="auto"/>
            </w:tcBorders>
            <w:vAlign w:val="center"/>
            <w:hideMark/>
          </w:tcPr>
          <w:p w14:paraId="26E31A4B"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vAlign w:val="center"/>
            <w:hideMark/>
          </w:tcPr>
          <w:p w14:paraId="7174674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65A4C" w:rsidRPr="002560C2" w14:paraId="224B1222"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62E6E088"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vAlign w:val="center"/>
          </w:tcPr>
          <w:p w14:paraId="4E40AD74"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65A4C" w:rsidRPr="002560C2" w14:paraId="3B95D4CC"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350377C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vAlign w:val="center"/>
          </w:tcPr>
          <w:p w14:paraId="61169D1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65A4C" w:rsidRPr="002560C2" w14:paraId="2B867EE4"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7E117497"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vAlign w:val="center"/>
          </w:tcPr>
          <w:p w14:paraId="7EB2C6ED"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65A4C" w:rsidRPr="002560C2" w14:paraId="22EBAB10"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hideMark/>
          </w:tcPr>
          <w:p w14:paraId="61BEAFFE"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vAlign w:val="center"/>
            <w:hideMark/>
          </w:tcPr>
          <w:p w14:paraId="6B7281D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43F08C55" w14:textId="77777777" w:rsidR="007D1E76"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7E0C6" w14:textId="77777777" w:rsidR="00765A4C" w:rsidRDefault="00765A4C" w:rsidP="00CB41C4">
      <w:pPr>
        <w:tabs>
          <w:tab w:val="left" w:leader="underscore" w:pos="9639"/>
        </w:tabs>
        <w:spacing w:after="0" w:line="240" w:lineRule="auto"/>
        <w:jc w:val="both"/>
        <w:rPr>
          <w:rFonts w:cs="Calibri"/>
        </w:rPr>
      </w:pPr>
    </w:p>
    <w:p w14:paraId="22EC0EC7" w14:textId="26C5BBF1" w:rsidR="007D1E76" w:rsidRPr="00E74967" w:rsidRDefault="00765A4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081BA" w14:textId="77777777" w:rsidR="00765A4C" w:rsidRDefault="00765A4C" w:rsidP="00CB41C4">
      <w:pPr>
        <w:tabs>
          <w:tab w:val="left" w:leader="underscore" w:pos="9639"/>
        </w:tabs>
        <w:spacing w:after="0" w:line="240" w:lineRule="auto"/>
        <w:jc w:val="both"/>
        <w:rPr>
          <w:rFonts w:cs="Calibri"/>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65A4C" w:rsidRPr="00D86C2E" w14:paraId="44AB90C2" w14:textId="77777777" w:rsidTr="006063CA">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0D839B"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bookmarkStart w:id="8" w:name="_Hlk22741498"/>
            <w:r w:rsidRPr="00717525">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097E8C48"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6D857C2"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Saldo en moneda extranjera</w:t>
            </w:r>
          </w:p>
        </w:tc>
      </w:tr>
      <w:bookmarkEnd w:id="8"/>
      <w:tr w:rsidR="00FF42A5" w:rsidRPr="00FB256D" w14:paraId="21995F53" w14:textId="77777777" w:rsidTr="00FF42A5">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4DD2FCE"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47FB6B2"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tcPr>
          <w:p w14:paraId="2290A1BC" w14:textId="5A04654F"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 xml:space="preserve">US        </w:t>
            </w:r>
            <w:r w:rsidR="0042336D">
              <w:rPr>
                <w:rFonts w:ascii="Trebuchet MS" w:hAnsi="Trebuchet MS"/>
                <w:sz w:val="20"/>
                <w:szCs w:val="20"/>
              </w:rPr>
              <w:t xml:space="preserve">  </w:t>
            </w:r>
            <w:r w:rsidRPr="00FF42A5">
              <w:rPr>
                <w:rFonts w:ascii="Trebuchet MS" w:hAnsi="Trebuchet MS"/>
                <w:sz w:val="20"/>
                <w:szCs w:val="20"/>
              </w:rPr>
              <w:t xml:space="preserve">  </w:t>
            </w:r>
            <w:r w:rsidR="0042336D">
              <w:rPr>
                <w:rFonts w:ascii="Trebuchet MS" w:hAnsi="Trebuchet MS"/>
                <w:sz w:val="20"/>
                <w:szCs w:val="20"/>
              </w:rPr>
              <w:t>38</w:t>
            </w:r>
            <w:r w:rsidRPr="00FF42A5">
              <w:rPr>
                <w:rFonts w:ascii="Trebuchet MS" w:hAnsi="Trebuchet MS"/>
                <w:sz w:val="20"/>
                <w:szCs w:val="20"/>
              </w:rPr>
              <w:t>,</w:t>
            </w:r>
            <w:r w:rsidR="0042336D">
              <w:rPr>
                <w:rFonts w:ascii="Trebuchet MS" w:hAnsi="Trebuchet MS"/>
                <w:sz w:val="20"/>
                <w:szCs w:val="20"/>
              </w:rPr>
              <w:t>525</w:t>
            </w:r>
          </w:p>
        </w:tc>
      </w:tr>
      <w:tr w:rsidR="00FF42A5" w:rsidRPr="00FB256D" w14:paraId="2FF950E5" w14:textId="77777777" w:rsidTr="00FF42A5">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3EAA535"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2BD0A29E"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DFB625C" w14:textId="47B53359"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US</w:t>
            </w:r>
            <w:r>
              <w:rPr>
                <w:rFonts w:ascii="Trebuchet MS" w:hAnsi="Trebuchet MS"/>
                <w:sz w:val="20"/>
                <w:szCs w:val="20"/>
              </w:rPr>
              <w:t xml:space="preserve"> </w:t>
            </w:r>
            <w:r w:rsidRPr="00FF42A5">
              <w:rPr>
                <w:rFonts w:ascii="Trebuchet MS" w:hAnsi="Trebuchet MS"/>
                <w:sz w:val="20"/>
                <w:szCs w:val="20"/>
              </w:rPr>
              <w:t xml:space="preserve">      1,1</w:t>
            </w:r>
            <w:r w:rsidR="0042336D">
              <w:rPr>
                <w:rFonts w:ascii="Trebuchet MS" w:hAnsi="Trebuchet MS"/>
                <w:sz w:val="20"/>
                <w:szCs w:val="20"/>
              </w:rPr>
              <w:t>58</w:t>
            </w:r>
            <w:r w:rsidRPr="00FF42A5">
              <w:rPr>
                <w:rFonts w:ascii="Trebuchet MS" w:hAnsi="Trebuchet MS"/>
                <w:sz w:val="20"/>
                <w:szCs w:val="20"/>
              </w:rPr>
              <w:t>,</w:t>
            </w:r>
            <w:r w:rsidR="0042336D">
              <w:rPr>
                <w:rFonts w:ascii="Trebuchet MS" w:hAnsi="Trebuchet MS"/>
                <w:sz w:val="20"/>
                <w:szCs w:val="20"/>
              </w:rPr>
              <w:t>825</w:t>
            </w:r>
          </w:p>
        </w:tc>
      </w:tr>
      <w:tr w:rsidR="00FF42A5" w:rsidRPr="00FB256D" w14:paraId="703E0246" w14:textId="77777777" w:rsidTr="00FF42A5">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AA12335"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62D05CB4"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6E8144EC" w14:textId="750242EA"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US                10</w:t>
            </w:r>
            <w:r w:rsidR="0042336D">
              <w:rPr>
                <w:rFonts w:ascii="Trebuchet MS" w:hAnsi="Trebuchet MS"/>
                <w:sz w:val="20"/>
                <w:szCs w:val="20"/>
              </w:rPr>
              <w:t>1</w:t>
            </w:r>
          </w:p>
        </w:tc>
      </w:tr>
      <w:tr w:rsidR="00FF42A5" w:rsidRPr="000408AE" w14:paraId="7DC7B9CF" w14:textId="77777777" w:rsidTr="00FF42A5">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5EA310B"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54681EFA"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39794E90" w14:textId="6C09B8E6"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 xml:space="preserve">US             </w:t>
            </w:r>
            <w:r w:rsidR="0042336D">
              <w:rPr>
                <w:rFonts w:ascii="Trebuchet MS" w:hAnsi="Trebuchet MS"/>
                <w:sz w:val="20"/>
                <w:szCs w:val="20"/>
              </w:rPr>
              <w:t>5,016</w:t>
            </w:r>
          </w:p>
        </w:tc>
      </w:tr>
    </w:tbl>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E633AC" w14:textId="74FE0B9C" w:rsidR="008E6268" w:rsidRPr="00E74967" w:rsidRDefault="008E6268" w:rsidP="008E6268">
      <w:pPr>
        <w:jc w:val="both"/>
        <w:rPr>
          <w:rFonts w:cs="Calibri"/>
        </w:rPr>
      </w:pPr>
      <w:r w:rsidRPr="00293E42">
        <w:rPr>
          <w:rFonts w:ascii="Trebuchet MS" w:hAnsi="Trebuchet MS" w:cs="Arial"/>
          <w:b/>
          <w:sz w:val="20"/>
          <w:szCs w:val="20"/>
        </w:rPr>
        <w:t>1 USD = $</w:t>
      </w:r>
      <w:r w:rsidRPr="00293E42">
        <w:t xml:space="preserve"> </w:t>
      </w:r>
      <w:r w:rsidR="008E0746" w:rsidRPr="00293E42">
        <w:rPr>
          <w:rFonts w:ascii="Trebuchet MS" w:hAnsi="Trebuchet MS" w:cs="Arial"/>
          <w:b/>
          <w:sz w:val="20"/>
          <w:szCs w:val="20"/>
        </w:rPr>
        <w:t>1</w:t>
      </w:r>
      <w:r w:rsidR="003F10A1">
        <w:rPr>
          <w:rFonts w:ascii="Trebuchet MS" w:hAnsi="Trebuchet MS" w:cs="Arial"/>
          <w:b/>
          <w:sz w:val="20"/>
          <w:szCs w:val="20"/>
        </w:rPr>
        <w:t>8</w:t>
      </w:r>
      <w:r w:rsidR="008E0746" w:rsidRPr="00293E42">
        <w:rPr>
          <w:rFonts w:ascii="Trebuchet MS" w:hAnsi="Trebuchet MS" w:cs="Arial"/>
          <w:b/>
          <w:sz w:val="20"/>
          <w:szCs w:val="20"/>
        </w:rPr>
        <w:t>.</w:t>
      </w:r>
      <w:r w:rsidR="003F10A1">
        <w:rPr>
          <w:rFonts w:ascii="Trebuchet MS" w:hAnsi="Trebuchet MS" w:cs="Arial"/>
          <w:b/>
          <w:sz w:val="20"/>
          <w:szCs w:val="20"/>
        </w:rPr>
        <w:t>1033</w:t>
      </w: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7AB7E8" w14:textId="77777777" w:rsidR="008E6268" w:rsidRPr="00E74967" w:rsidRDefault="008E6268"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8E6268" w:rsidRPr="00D86C2E" w14:paraId="227059FB" w14:textId="77777777" w:rsidTr="006063CA">
        <w:trPr>
          <w:trHeight w:val="615"/>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1AEB820E"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vAlign w:val="center"/>
            <w:hideMark/>
          </w:tcPr>
          <w:p w14:paraId="57E91B17"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vAlign w:val="center"/>
            <w:hideMark/>
          </w:tcPr>
          <w:p w14:paraId="24C1308D"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Saldo en moneda nacional</w:t>
            </w:r>
          </w:p>
        </w:tc>
      </w:tr>
      <w:tr w:rsidR="00DD0F21" w:rsidRPr="00DD0F21" w14:paraId="7BEF56A0"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hideMark/>
          </w:tcPr>
          <w:p w14:paraId="4B38B3F8"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vAlign w:val="center"/>
            <w:hideMark/>
          </w:tcPr>
          <w:p w14:paraId="595D1D5D"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hideMark/>
          </w:tcPr>
          <w:p w14:paraId="643C64AE" w14:textId="60312B54" w:rsidR="00DD0F21" w:rsidRPr="00DD0F21" w:rsidRDefault="001F3A00" w:rsidP="00DD0F21">
            <w:pPr>
              <w:spacing w:after="0" w:line="240" w:lineRule="auto"/>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Pr="001F3A00">
              <w:rPr>
                <w:rFonts w:ascii="Trebuchet MS" w:eastAsia="Times New Roman" w:hAnsi="Trebuchet MS" w:cs="Calibri"/>
                <w:color w:val="000000"/>
                <w:sz w:val="10"/>
                <w:szCs w:val="10"/>
                <w:lang w:eastAsia="es-MX"/>
              </w:rPr>
              <w:t xml:space="preserve"> </w:t>
            </w:r>
            <w:r>
              <w:rPr>
                <w:rFonts w:ascii="Trebuchet MS" w:eastAsia="Times New Roman" w:hAnsi="Trebuchet MS" w:cs="Calibri"/>
                <w:color w:val="000000"/>
                <w:sz w:val="20"/>
                <w:szCs w:val="20"/>
                <w:lang w:eastAsia="es-MX"/>
              </w:rPr>
              <w:t xml:space="preserve">           </w:t>
            </w:r>
            <w:r w:rsidR="0042336D">
              <w:rPr>
                <w:rFonts w:ascii="Trebuchet MS" w:eastAsia="Times New Roman" w:hAnsi="Trebuchet MS" w:cs="Calibri"/>
                <w:color w:val="000000"/>
                <w:sz w:val="20"/>
                <w:szCs w:val="20"/>
                <w:lang w:eastAsia="es-MX"/>
              </w:rPr>
              <w:t>677</w:t>
            </w:r>
            <w:r w:rsidR="00DD0F21" w:rsidRPr="00DD0F21">
              <w:rPr>
                <w:rFonts w:ascii="Trebuchet MS" w:eastAsia="Times New Roman" w:hAnsi="Trebuchet MS" w:cs="Calibri"/>
                <w:color w:val="000000"/>
                <w:sz w:val="20"/>
                <w:szCs w:val="20"/>
                <w:lang w:eastAsia="es-MX"/>
              </w:rPr>
              <w:t>,</w:t>
            </w:r>
            <w:r w:rsidR="0042336D">
              <w:rPr>
                <w:rFonts w:ascii="Trebuchet MS" w:eastAsia="Times New Roman" w:hAnsi="Trebuchet MS" w:cs="Calibri"/>
                <w:color w:val="000000"/>
                <w:sz w:val="20"/>
                <w:szCs w:val="20"/>
                <w:lang w:eastAsia="es-MX"/>
              </w:rPr>
              <w:t>144</w:t>
            </w:r>
          </w:p>
        </w:tc>
      </w:tr>
      <w:tr w:rsidR="00DD0F21" w:rsidRPr="00DD0F21" w14:paraId="4373C35D"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tcPr>
          <w:p w14:paraId="27DB3C27"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vAlign w:val="center"/>
          </w:tcPr>
          <w:p w14:paraId="209F59BE"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tcPr>
          <w:p w14:paraId="1C42A2FF" w14:textId="72C2FBC0" w:rsidR="00DD0F21" w:rsidRPr="00DD0F21" w:rsidRDefault="001F3A00" w:rsidP="00DD0F21">
            <w:pPr>
              <w:spacing w:after="0" w:line="240" w:lineRule="auto"/>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0042336D">
              <w:rPr>
                <w:rFonts w:ascii="Trebuchet MS" w:eastAsia="Times New Roman" w:hAnsi="Trebuchet MS" w:cs="Calibri"/>
                <w:color w:val="000000"/>
                <w:sz w:val="20"/>
                <w:szCs w:val="20"/>
                <w:lang w:eastAsia="es-MX"/>
              </w:rPr>
              <w:t>19</w:t>
            </w:r>
            <w:r w:rsidR="00DD0F21" w:rsidRPr="00DD0F21">
              <w:rPr>
                <w:rFonts w:ascii="Trebuchet MS" w:eastAsia="Times New Roman" w:hAnsi="Trebuchet MS" w:cs="Calibri"/>
                <w:color w:val="000000"/>
                <w:sz w:val="20"/>
                <w:szCs w:val="20"/>
                <w:lang w:eastAsia="es-MX"/>
              </w:rPr>
              <w:t>,</w:t>
            </w:r>
            <w:r w:rsidR="0042336D">
              <w:rPr>
                <w:rFonts w:ascii="Trebuchet MS" w:eastAsia="Times New Roman" w:hAnsi="Trebuchet MS" w:cs="Calibri"/>
                <w:color w:val="000000"/>
                <w:sz w:val="20"/>
                <w:szCs w:val="20"/>
                <w:lang w:eastAsia="es-MX"/>
              </w:rPr>
              <w:t>997</w:t>
            </w:r>
            <w:r w:rsidR="00DD0F21" w:rsidRPr="00DD0F21">
              <w:rPr>
                <w:rFonts w:ascii="Trebuchet MS" w:eastAsia="Times New Roman" w:hAnsi="Trebuchet MS" w:cs="Calibri"/>
                <w:color w:val="000000"/>
                <w:sz w:val="20"/>
                <w:szCs w:val="20"/>
                <w:lang w:eastAsia="es-MX"/>
              </w:rPr>
              <w:t>,</w:t>
            </w:r>
            <w:r w:rsidR="0042336D">
              <w:rPr>
                <w:rFonts w:ascii="Trebuchet MS" w:eastAsia="Times New Roman" w:hAnsi="Trebuchet MS" w:cs="Calibri"/>
                <w:color w:val="000000"/>
                <w:sz w:val="20"/>
                <w:szCs w:val="20"/>
                <w:lang w:eastAsia="es-MX"/>
              </w:rPr>
              <w:t>030</w:t>
            </w:r>
          </w:p>
        </w:tc>
      </w:tr>
      <w:tr w:rsidR="00DD0F21" w:rsidRPr="00DD0F21" w14:paraId="4D96ABAF"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tcPr>
          <w:p w14:paraId="4B1A9F80"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vAlign w:val="center"/>
          </w:tcPr>
          <w:p w14:paraId="5765CDBC"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tcPr>
          <w:p w14:paraId="77929623" w14:textId="14C99139" w:rsidR="00DD0F21" w:rsidRPr="00DD0F21" w:rsidRDefault="001F3A00" w:rsidP="00DD0F21">
            <w:pPr>
              <w:spacing w:after="0" w:line="240" w:lineRule="auto"/>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00DD0F21" w:rsidRPr="00DD0F21">
              <w:rPr>
                <w:rFonts w:ascii="Trebuchet MS" w:eastAsia="Times New Roman" w:hAnsi="Trebuchet MS" w:cs="Calibri"/>
                <w:color w:val="000000"/>
                <w:sz w:val="20"/>
                <w:szCs w:val="20"/>
                <w:lang w:eastAsia="es-MX"/>
              </w:rPr>
              <w:t>1,8</w:t>
            </w:r>
            <w:r w:rsidR="0042336D">
              <w:rPr>
                <w:rFonts w:ascii="Trebuchet MS" w:eastAsia="Times New Roman" w:hAnsi="Trebuchet MS" w:cs="Calibri"/>
                <w:color w:val="000000"/>
                <w:sz w:val="20"/>
                <w:szCs w:val="20"/>
                <w:lang w:eastAsia="es-MX"/>
              </w:rPr>
              <w:t>20</w:t>
            </w:r>
          </w:p>
        </w:tc>
      </w:tr>
      <w:tr w:rsidR="00DD0F21" w:rsidRPr="000A0B52" w14:paraId="4811E8E4"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tcPr>
          <w:p w14:paraId="284532DD"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vAlign w:val="center"/>
          </w:tcPr>
          <w:p w14:paraId="01BD1D68"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tcPr>
          <w:p w14:paraId="4F1DDF72" w14:textId="7E21E9B1" w:rsidR="00DD0F21" w:rsidRPr="00DD0F21" w:rsidRDefault="001F3A00" w:rsidP="00DD0F21">
            <w:pPr>
              <w:spacing w:after="0" w:line="240" w:lineRule="auto"/>
              <w:ind w:left="709" w:hanging="709"/>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0042336D">
              <w:rPr>
                <w:rFonts w:ascii="Trebuchet MS" w:eastAsia="Times New Roman" w:hAnsi="Trebuchet MS" w:cs="Calibri"/>
                <w:color w:val="000000"/>
                <w:sz w:val="20"/>
                <w:szCs w:val="20"/>
                <w:lang w:eastAsia="es-MX"/>
              </w:rPr>
              <w:t xml:space="preserve">     </w:t>
            </w:r>
            <w:r>
              <w:rPr>
                <w:rFonts w:ascii="Trebuchet MS" w:eastAsia="Times New Roman" w:hAnsi="Trebuchet MS" w:cs="Calibri"/>
                <w:color w:val="000000"/>
                <w:sz w:val="20"/>
                <w:szCs w:val="20"/>
                <w:lang w:eastAsia="es-MX"/>
              </w:rPr>
              <w:t xml:space="preserve">  </w:t>
            </w:r>
            <w:r w:rsidR="0042336D">
              <w:rPr>
                <w:rFonts w:ascii="Trebuchet MS" w:eastAsia="Times New Roman" w:hAnsi="Trebuchet MS" w:cs="Calibri"/>
                <w:color w:val="000000"/>
                <w:sz w:val="20"/>
                <w:szCs w:val="20"/>
                <w:lang w:eastAsia="es-MX"/>
              </w:rPr>
              <w:t>90,811</w:t>
            </w:r>
          </w:p>
        </w:tc>
      </w:tr>
    </w:tbl>
    <w:p w14:paraId="63BA699C" w14:textId="5DAD6B1C" w:rsidR="00B27F13" w:rsidRDefault="00B27F13" w:rsidP="00CB41C4">
      <w:pPr>
        <w:tabs>
          <w:tab w:val="left" w:leader="underscore" w:pos="9639"/>
        </w:tabs>
        <w:spacing w:after="0" w:line="240" w:lineRule="auto"/>
        <w:jc w:val="both"/>
        <w:rPr>
          <w:rFonts w:cs="Calibri"/>
        </w:rPr>
      </w:pPr>
    </w:p>
    <w:p w14:paraId="60F30589" w14:textId="1859163E" w:rsidR="00B27F13" w:rsidRDefault="00B27F13">
      <w:pPr>
        <w:spacing w:after="0" w:line="240" w:lineRule="auto"/>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9"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9"/>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B9FD5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w:t>
      </w:r>
      <w:r w:rsidR="008E6268">
        <w:rPr>
          <w:rFonts w:cs="Calibri"/>
        </w:rPr>
        <w:t>:</w:t>
      </w:r>
    </w:p>
    <w:p w14:paraId="7831BD8E" w14:textId="77777777" w:rsidR="008E6268" w:rsidRDefault="008E6268" w:rsidP="008E6268">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8E6268" w:rsidRPr="00115509" w14:paraId="396701B8" w14:textId="77777777" w:rsidTr="006063CA">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2A4D80DC"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5547F1"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4B5E874"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1A38661"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 de depreciación anual </w:t>
            </w:r>
          </w:p>
        </w:tc>
      </w:tr>
      <w:tr w:rsidR="008E6268" w:rsidRPr="00115509" w14:paraId="59E7F76C"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3FB9B873" w14:textId="77777777" w:rsidR="008E6268" w:rsidRPr="00FB256D" w:rsidRDefault="008E6268" w:rsidP="006063CA">
            <w:pPr>
              <w:pStyle w:val="Texto"/>
              <w:spacing w:after="100"/>
              <w:jc w:val="both"/>
              <w:rPr>
                <w:rFonts w:ascii="Trebuchet MS" w:hAnsi="Trebuchet MS"/>
                <w:color w:val="000000"/>
                <w:sz w:val="20"/>
                <w:szCs w:val="20"/>
              </w:rPr>
            </w:pPr>
            <w:r w:rsidRPr="00FB256D">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52E5EDFD" w14:textId="77777777" w:rsidR="008E6268" w:rsidRPr="00FB256D" w:rsidRDefault="008E6268" w:rsidP="006063CA">
            <w:pPr>
              <w:pStyle w:val="Default"/>
              <w:spacing w:after="100"/>
              <w:jc w:val="both"/>
              <w:rPr>
                <w:rFonts w:ascii="Trebuchet MS" w:hAnsi="Trebuchet MS"/>
                <w:sz w:val="20"/>
                <w:szCs w:val="20"/>
              </w:rPr>
            </w:pPr>
            <w:r w:rsidRPr="00FB256D">
              <w:rPr>
                <w:rFonts w:ascii="Trebuchet MS" w:hAnsi="Trebuchet MS"/>
                <w:b/>
                <w:bCs/>
                <w:sz w:val="20"/>
                <w:szCs w:val="20"/>
              </w:rPr>
              <w:t xml:space="preserve">BIENES INMUEBLES, INFRAESTRUCTURA Y CONSTRUCCIONES EN PROCESO </w:t>
            </w:r>
          </w:p>
        </w:tc>
      </w:tr>
      <w:tr w:rsidR="008E6268" w:rsidRPr="00115509" w14:paraId="57D55D72"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330BD56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6805E0B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448A138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001C46D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8E6268" w:rsidRPr="00115509" w14:paraId="21EB02D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F6ECDF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8E1102B"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D36105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1E1EE2A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8E6268" w:rsidRPr="00115509" w14:paraId="1E966548"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4FD956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5FDD853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04BFB8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0DFC2EA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8E6268" w:rsidRPr="00115509" w14:paraId="45370DD3"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AB83FD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976F0C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42FFE6E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6E4AC36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8E6268" w:rsidRPr="00115509" w14:paraId="32CBC4E7"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6C1A358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484B97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8E6268" w:rsidRPr="00115509" w14:paraId="152A6B9B" w14:textId="77777777" w:rsidTr="006063CA">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4E4D8E0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104DD67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8E6268" w:rsidRPr="00115509" w14:paraId="4A00F7D9"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76EC5E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0FAA989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EACADC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19270D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2A352F1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2311BB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510049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316DBF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F01916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042A3D3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555C17D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490C4DF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78176D38"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5C5E68B"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7A041B7F"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7BFF5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700611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4995BB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A60435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37C6EBF5"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A9FCE8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FC1C5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8E6268" w:rsidRPr="00115509" w14:paraId="08DBBBC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556DA4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5000286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11A34F5"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56E706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2744F1F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70BF5AE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80FC7D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1072F8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AE357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51142DE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044AC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EB4B1C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45149C5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2BFBF2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02BBDC6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E32CE3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4E1EDE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150035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59BBD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42986942"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7C02D91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144F55B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8E6268" w:rsidRPr="00115509" w14:paraId="1AA3DB5A"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C0AD4A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68CF6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18C7C2B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2859B4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17B4A3F4"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22C14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F5D49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8C7B75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D21D24"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26389603"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802922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65AC835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8E6268" w:rsidRPr="00115509" w14:paraId="708FB45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DFBF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9C6D1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7B66223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83CD3A2"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84E30B3" w:rsidR="008E6268" w:rsidRPr="00E74967"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w:t>
      </w:r>
      <w:r w:rsidR="008E6268">
        <w:rPr>
          <w:rFonts w:cs="Calibri"/>
        </w:rPr>
        <w:t>: 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D1F662D" w14:textId="09B76276" w:rsidR="007D1E76"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8E6268">
        <w:rPr>
          <w:rFonts w:cs="Calibri"/>
        </w:rPr>
        <w:t xml:space="preserve"> 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11EBA774" w14:textId="3AD8E87E" w:rsidR="007D1E76" w:rsidRPr="00E74967" w:rsidRDefault="007D1E76" w:rsidP="008E626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E6268">
        <w:rPr>
          <w:rFonts w:cs="Calibri"/>
        </w:rPr>
        <w:t xml:space="preserve"> 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6569FCE5" w14:textId="56518E96" w:rsidR="007D1E76" w:rsidRPr="00E74967" w:rsidRDefault="007D1E76" w:rsidP="008E626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r w:rsidR="008E6268">
        <w:rPr>
          <w:rFonts w:cs="Calibri"/>
        </w:rPr>
        <w:t xml:space="preserve"> No aplica en el periodo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42FC9AF6" w14:textId="178FA294" w:rsidR="007D1E76" w:rsidRPr="00E74967" w:rsidRDefault="007D1E76" w:rsidP="008E626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8E6268">
        <w:rPr>
          <w:rFonts w:cs="Calibri"/>
        </w:rPr>
        <w:t xml:space="preserve">  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3CAEA7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r w:rsidR="008E6268">
        <w:rPr>
          <w:rFonts w:cs="Calibri"/>
        </w:rPr>
        <w:t xml:space="preserve"> 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23376542" w14:textId="3999CE1A" w:rsidR="005E231E" w:rsidRDefault="007D1E76" w:rsidP="008E626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8E6268">
        <w:rPr>
          <w:rFonts w:cs="Calibri"/>
        </w:rPr>
        <w:t xml:space="preserve"> No aplica</w:t>
      </w:r>
    </w:p>
    <w:p w14:paraId="61F60A81" w14:textId="77777777" w:rsidR="008E6268" w:rsidRPr="00E74967" w:rsidRDefault="008E6268" w:rsidP="008E6268">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2F075955" w14:textId="4DBDC13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9A70CB">
        <w:rPr>
          <w:rFonts w:cs="Calibri"/>
        </w:rPr>
        <w:t xml:space="preserve"> </w:t>
      </w:r>
      <w:r w:rsidR="008E6268">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76C39C" w14:textId="00DE65F1" w:rsidR="008E6268"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8E6268">
        <w:rPr>
          <w:rFonts w:cs="Calibri"/>
        </w:rPr>
        <w:t xml:space="preserve"> No aplica</w:t>
      </w:r>
    </w:p>
    <w:p w14:paraId="5EF1E4AB" w14:textId="77777777" w:rsidR="007D1E76" w:rsidRDefault="007D1E76" w:rsidP="008E6268">
      <w:pPr>
        <w:tabs>
          <w:tab w:val="left" w:leader="underscore" w:pos="9639"/>
        </w:tabs>
        <w:spacing w:after="0" w:line="240" w:lineRule="auto"/>
        <w:jc w:val="both"/>
        <w:rPr>
          <w:rFonts w:cs="Calibri"/>
        </w:rPr>
      </w:pPr>
    </w:p>
    <w:p w14:paraId="252E46EF" w14:textId="77777777" w:rsidR="008E6268"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0AF84DAF" w14:textId="77777777" w:rsidTr="006063CA">
        <w:trPr>
          <w:trHeight w:val="300"/>
        </w:trPr>
        <w:tc>
          <w:tcPr>
            <w:tcW w:w="1701" w:type="dxa"/>
            <w:vAlign w:val="center"/>
            <w:hideMark/>
          </w:tcPr>
          <w:p w14:paraId="7B63FEF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noWrap/>
            <w:vAlign w:val="bottom"/>
            <w:hideMark/>
          </w:tcPr>
          <w:p w14:paraId="46390FCA"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vAlign w:val="center"/>
            <w:hideMark/>
          </w:tcPr>
          <w:p w14:paraId="161F8BE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vAlign w:val="center"/>
            <w:hideMark/>
          </w:tcPr>
          <w:p w14:paraId="5347F13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vAlign w:val="center"/>
            <w:hideMark/>
          </w:tcPr>
          <w:p w14:paraId="09FEB1D1"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8E6268" w:rsidRPr="00AA62D0" w14:paraId="210CDAB9" w14:textId="77777777" w:rsidTr="006063CA">
        <w:trPr>
          <w:trHeight w:val="450"/>
        </w:trPr>
        <w:tc>
          <w:tcPr>
            <w:tcW w:w="1701" w:type="dxa"/>
            <w:vAlign w:val="center"/>
            <w:hideMark/>
          </w:tcPr>
          <w:p w14:paraId="72C8F33C"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vAlign w:val="center"/>
            <w:hideMark/>
          </w:tcPr>
          <w:p w14:paraId="22283BA3"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vAlign w:val="center"/>
            <w:hideMark/>
          </w:tcPr>
          <w:p w14:paraId="7C8492FC" w14:textId="3B947928" w:rsidR="008E6268" w:rsidRPr="00AA62D0" w:rsidRDefault="00FB256D" w:rsidP="006063CA">
            <w:pPr>
              <w:spacing w:after="0" w:line="240" w:lineRule="auto"/>
              <w:jc w:val="right"/>
              <w:rPr>
                <w:rFonts w:ascii="Trebuchet MS" w:eastAsia="Times New Roman" w:hAnsi="Trebuchet MS"/>
                <w:sz w:val="16"/>
                <w:szCs w:val="20"/>
                <w:lang w:eastAsia="es-MX"/>
              </w:rPr>
            </w:pPr>
            <w:r w:rsidRPr="00FB256D">
              <w:rPr>
                <w:rFonts w:ascii="Trebuchet MS" w:eastAsia="Times New Roman" w:hAnsi="Trebuchet MS"/>
                <w:sz w:val="16"/>
                <w:szCs w:val="20"/>
                <w:lang w:eastAsia="es-MX"/>
              </w:rPr>
              <w:t>44,354,62</w:t>
            </w:r>
            <w:r>
              <w:rPr>
                <w:rFonts w:ascii="Trebuchet MS" w:eastAsia="Times New Roman" w:hAnsi="Trebuchet MS"/>
                <w:sz w:val="16"/>
                <w:szCs w:val="20"/>
                <w:lang w:eastAsia="es-MX"/>
              </w:rPr>
              <w:t>2</w:t>
            </w:r>
          </w:p>
        </w:tc>
        <w:tc>
          <w:tcPr>
            <w:tcW w:w="1984" w:type="dxa"/>
            <w:vAlign w:val="center"/>
            <w:hideMark/>
          </w:tcPr>
          <w:p w14:paraId="0507C549"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vAlign w:val="center"/>
            <w:hideMark/>
          </w:tcPr>
          <w:p w14:paraId="16283F30"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5F9218F7" w14:textId="12ECE588" w:rsidR="007D1E76" w:rsidRDefault="007D1E76" w:rsidP="008E6268">
      <w:pPr>
        <w:tabs>
          <w:tab w:val="left" w:leader="underscore" w:pos="9639"/>
        </w:tabs>
        <w:spacing w:after="0" w:line="240" w:lineRule="auto"/>
        <w:jc w:val="both"/>
        <w:rPr>
          <w:rFonts w:cs="Calibri"/>
        </w:rPr>
      </w:pPr>
    </w:p>
    <w:p w14:paraId="1F2DC0A9" w14:textId="7D95E451" w:rsidR="00303ED7" w:rsidRDefault="008E6268" w:rsidP="008E6268">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7A64F839" w14:textId="77777777" w:rsidR="00303ED7" w:rsidRDefault="00303ED7">
      <w:pPr>
        <w:spacing w:after="0" w:line="240" w:lineRule="auto"/>
        <w:rPr>
          <w:rFonts w:ascii="Trebuchet MS" w:hAnsi="Trebuchet MS" w:cs="Arial"/>
          <w:sz w:val="20"/>
          <w:szCs w:val="20"/>
        </w:rPr>
      </w:pPr>
      <w:r>
        <w:rPr>
          <w:rFonts w:ascii="Trebuchet MS" w:hAnsi="Trebuchet MS" w:cs="Arial"/>
          <w:sz w:val="20"/>
          <w:szCs w:val="20"/>
        </w:rPr>
        <w:br w:type="page"/>
      </w:r>
    </w:p>
    <w:p w14:paraId="7E257211" w14:textId="77777777" w:rsidR="008E6268" w:rsidRDefault="008E6268" w:rsidP="008E6268">
      <w:pPr>
        <w:jc w:val="both"/>
        <w:rPr>
          <w:rFonts w:ascii="Trebuchet MS" w:hAnsi="Trebuchet MS" w:cs="Arial"/>
          <w:sz w:val="20"/>
          <w:szCs w:val="20"/>
        </w:rPr>
      </w:pPr>
    </w:p>
    <w:p w14:paraId="3944D110" w14:textId="77777777" w:rsidR="008E6268" w:rsidRDefault="008E6268" w:rsidP="008E6268">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045225E0" w14:textId="77777777" w:rsidR="008E6268" w:rsidRPr="00E74967" w:rsidRDefault="008E6268" w:rsidP="008E6268">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42C9FA" w14:textId="77777777" w:rsidR="008E6268" w:rsidRPr="00E74967" w:rsidRDefault="008E6268" w:rsidP="00CB41C4">
      <w:pPr>
        <w:tabs>
          <w:tab w:val="left" w:leader="underscore" w:pos="9639"/>
        </w:tabs>
        <w:spacing w:after="0" w:line="240" w:lineRule="auto"/>
        <w:jc w:val="both"/>
        <w:rPr>
          <w:rFonts w:cs="Calibri"/>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7A0FBBA6" w14:textId="77777777" w:rsidTr="006063CA">
        <w:trPr>
          <w:trHeight w:val="300"/>
        </w:trPr>
        <w:tc>
          <w:tcPr>
            <w:tcW w:w="1701" w:type="dxa"/>
            <w:vAlign w:val="center"/>
            <w:hideMark/>
          </w:tcPr>
          <w:p w14:paraId="3AF17A2F"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noWrap/>
            <w:vAlign w:val="bottom"/>
            <w:hideMark/>
          </w:tcPr>
          <w:p w14:paraId="5CE93989"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vAlign w:val="center"/>
            <w:hideMark/>
          </w:tcPr>
          <w:p w14:paraId="7A511C2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vAlign w:val="center"/>
            <w:hideMark/>
          </w:tcPr>
          <w:p w14:paraId="14B1E6C7"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vAlign w:val="center"/>
            <w:hideMark/>
          </w:tcPr>
          <w:p w14:paraId="07EF1545"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8E6268" w:rsidRPr="00AA62D0" w14:paraId="1B00F166" w14:textId="77777777" w:rsidTr="008E6268">
        <w:trPr>
          <w:trHeight w:val="600"/>
        </w:trPr>
        <w:tc>
          <w:tcPr>
            <w:tcW w:w="1701" w:type="dxa"/>
            <w:vAlign w:val="center"/>
            <w:hideMark/>
          </w:tcPr>
          <w:p w14:paraId="489EC95D"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vAlign w:val="center"/>
            <w:hideMark/>
          </w:tcPr>
          <w:p w14:paraId="0E9FCA95"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vAlign w:val="center"/>
            <w:hideMark/>
          </w:tcPr>
          <w:p w14:paraId="232B68C8" w14:textId="669CC86E" w:rsidR="008E6268" w:rsidRPr="00AA62D0" w:rsidRDefault="00FB256D" w:rsidP="008E6268">
            <w:pPr>
              <w:spacing w:after="0" w:line="240" w:lineRule="auto"/>
              <w:jc w:val="right"/>
              <w:rPr>
                <w:rFonts w:ascii="Trebuchet MS" w:eastAsia="Times New Roman" w:hAnsi="Trebuchet MS"/>
                <w:sz w:val="16"/>
                <w:szCs w:val="20"/>
                <w:lang w:eastAsia="es-MX"/>
              </w:rPr>
            </w:pPr>
            <w:r w:rsidRPr="00FB256D">
              <w:rPr>
                <w:rFonts w:ascii="Trebuchet MS" w:eastAsia="Times New Roman" w:hAnsi="Trebuchet MS"/>
                <w:sz w:val="16"/>
                <w:szCs w:val="20"/>
                <w:lang w:eastAsia="es-MX"/>
              </w:rPr>
              <w:t>27,306</w:t>
            </w:r>
          </w:p>
        </w:tc>
        <w:tc>
          <w:tcPr>
            <w:tcW w:w="1984" w:type="dxa"/>
            <w:vAlign w:val="center"/>
            <w:hideMark/>
          </w:tcPr>
          <w:p w14:paraId="535F926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hideMark/>
          </w:tcPr>
          <w:p w14:paraId="148059C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E6268" w:rsidRPr="00AA62D0" w14:paraId="577F0400" w14:textId="77777777" w:rsidTr="008E6268">
        <w:trPr>
          <w:trHeight w:val="600"/>
        </w:trPr>
        <w:tc>
          <w:tcPr>
            <w:tcW w:w="1701" w:type="dxa"/>
            <w:vAlign w:val="center"/>
          </w:tcPr>
          <w:p w14:paraId="0E39A22F"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vAlign w:val="center"/>
          </w:tcPr>
          <w:p w14:paraId="540FAD8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vAlign w:val="center"/>
          </w:tcPr>
          <w:p w14:paraId="788106AE" w14:textId="7CBF08A5"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1,352,000</w:t>
            </w:r>
          </w:p>
        </w:tc>
        <w:tc>
          <w:tcPr>
            <w:tcW w:w="1984" w:type="dxa"/>
            <w:vAlign w:val="center"/>
          </w:tcPr>
          <w:p w14:paraId="08EA3DF8"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1D58173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E6268" w:rsidRPr="00AA62D0" w14:paraId="2EC7BA63" w14:textId="77777777" w:rsidTr="008E6268">
        <w:trPr>
          <w:trHeight w:val="600"/>
        </w:trPr>
        <w:tc>
          <w:tcPr>
            <w:tcW w:w="1701" w:type="dxa"/>
            <w:vAlign w:val="center"/>
          </w:tcPr>
          <w:p w14:paraId="3EC953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vAlign w:val="center"/>
          </w:tcPr>
          <w:p w14:paraId="4C8AF97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vAlign w:val="center"/>
          </w:tcPr>
          <w:p w14:paraId="0A912DD0" w14:textId="27548BD2" w:rsidR="008E6268" w:rsidRPr="00AA62D0" w:rsidRDefault="00FB256D" w:rsidP="008E6268">
            <w:pPr>
              <w:spacing w:after="0" w:line="240" w:lineRule="auto"/>
              <w:jc w:val="right"/>
              <w:rPr>
                <w:rFonts w:ascii="Trebuchet MS" w:eastAsia="Times New Roman" w:hAnsi="Trebuchet MS"/>
                <w:sz w:val="16"/>
                <w:szCs w:val="20"/>
                <w:lang w:eastAsia="es-MX"/>
              </w:rPr>
            </w:pPr>
            <w:r w:rsidRPr="00FB256D">
              <w:rPr>
                <w:rFonts w:ascii="Trebuchet MS" w:eastAsia="Times New Roman" w:hAnsi="Trebuchet MS"/>
                <w:sz w:val="16"/>
                <w:szCs w:val="20"/>
                <w:lang w:eastAsia="es-MX"/>
              </w:rPr>
              <w:t>109,552</w:t>
            </w:r>
          </w:p>
        </w:tc>
        <w:tc>
          <w:tcPr>
            <w:tcW w:w="1984" w:type="dxa"/>
            <w:vAlign w:val="center"/>
          </w:tcPr>
          <w:p w14:paraId="7E97476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0C9AEECC"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E6268" w:rsidRPr="00AA62D0" w14:paraId="5160376C" w14:textId="77777777" w:rsidTr="008E6268">
        <w:trPr>
          <w:trHeight w:val="600"/>
        </w:trPr>
        <w:tc>
          <w:tcPr>
            <w:tcW w:w="1701" w:type="dxa"/>
            <w:vAlign w:val="center"/>
          </w:tcPr>
          <w:p w14:paraId="3F463D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vAlign w:val="center"/>
          </w:tcPr>
          <w:p w14:paraId="04A7F56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vAlign w:val="center"/>
          </w:tcPr>
          <w:p w14:paraId="3A7E1249" w14:textId="401E7946" w:rsidR="008E6268" w:rsidRPr="00AA62D0" w:rsidRDefault="008E6268" w:rsidP="008E626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w:t>
            </w:r>
            <w:r w:rsidRPr="008E6268">
              <w:rPr>
                <w:rFonts w:ascii="Trebuchet MS" w:eastAsia="Times New Roman" w:hAnsi="Trebuchet MS"/>
                <w:sz w:val="16"/>
                <w:szCs w:val="20"/>
                <w:lang w:eastAsia="es-MX"/>
              </w:rPr>
              <w:t>13,15</w:t>
            </w:r>
            <w:r w:rsidR="00D52FFD">
              <w:rPr>
                <w:rFonts w:ascii="Trebuchet MS" w:eastAsia="Times New Roman" w:hAnsi="Trebuchet MS"/>
                <w:sz w:val="16"/>
                <w:szCs w:val="20"/>
                <w:lang w:eastAsia="es-MX"/>
              </w:rPr>
              <w:t>9</w:t>
            </w:r>
          </w:p>
        </w:tc>
        <w:tc>
          <w:tcPr>
            <w:tcW w:w="1984" w:type="dxa"/>
            <w:vAlign w:val="center"/>
          </w:tcPr>
          <w:p w14:paraId="11905842"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6996985E"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9FE3F7F" w:rsidR="007D1E76" w:rsidRPr="00E74967" w:rsidRDefault="008E6268" w:rsidP="00CB41C4">
      <w:pPr>
        <w:tabs>
          <w:tab w:val="left" w:leader="underscore" w:pos="9639"/>
        </w:tabs>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10"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10"/>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2DF26DC8" w:rsidR="007D1E76" w:rsidRPr="00E74967" w:rsidRDefault="007D1E76" w:rsidP="006E2B82">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6E2B82">
        <w:rPr>
          <w:rFonts w:cs="Calibri"/>
        </w:rPr>
        <w:t xml:space="preserve"> No aplica</w:t>
      </w:r>
    </w:p>
    <w:p w14:paraId="2010752E" w14:textId="4C79EA60" w:rsidR="000E3E17" w:rsidRDefault="000E3E17">
      <w:pPr>
        <w:spacing w:after="0" w:line="240" w:lineRule="auto"/>
        <w:rPr>
          <w:rFonts w:cs="Calibri"/>
        </w:rPr>
      </w:pPr>
      <w:r>
        <w:rPr>
          <w:rFonts w:cs="Calibri"/>
        </w:rPr>
        <w:br w:type="page"/>
      </w:r>
    </w:p>
    <w:p w14:paraId="7C213FC2" w14:textId="77777777" w:rsidR="006E2B82" w:rsidRDefault="006E2B82">
      <w:pPr>
        <w:spacing w:after="0" w:line="240" w:lineRule="auto"/>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E26F29" w14:paraId="5136777B" w14:textId="77777777" w:rsidTr="00D52FFD">
        <w:trPr>
          <w:trHeight w:val="300"/>
        </w:trPr>
        <w:tc>
          <w:tcPr>
            <w:tcW w:w="1578" w:type="dxa"/>
            <w:hideMark/>
          </w:tcPr>
          <w:p w14:paraId="7AD18DE3"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43D411D"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CF7D4EB" w14:textId="77777777" w:rsidR="006E2B82" w:rsidRPr="00E26F29" w:rsidRDefault="006E2B82" w:rsidP="006063CA">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5AB01DFA"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317ADB29"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82675C" w:rsidRPr="00620003" w14:paraId="14E8B1BC" w14:textId="77777777" w:rsidTr="0082675C">
        <w:trPr>
          <w:trHeight w:val="1020"/>
        </w:trPr>
        <w:tc>
          <w:tcPr>
            <w:tcW w:w="1578" w:type="dxa"/>
            <w:vAlign w:val="center"/>
            <w:hideMark/>
          </w:tcPr>
          <w:p w14:paraId="31927D61" w14:textId="3697487D" w:rsidR="0082675C" w:rsidRPr="003F14A4" w:rsidRDefault="0082675C" w:rsidP="0082675C">
            <w:pPr>
              <w:spacing w:after="0" w:line="240" w:lineRule="auto"/>
              <w:jc w:val="both"/>
            </w:pPr>
            <w:r w:rsidRPr="003F14A4">
              <w:t>1213400030</w:t>
            </w:r>
          </w:p>
        </w:tc>
        <w:tc>
          <w:tcPr>
            <w:tcW w:w="2500" w:type="dxa"/>
            <w:vAlign w:val="center"/>
            <w:hideMark/>
          </w:tcPr>
          <w:p w14:paraId="5BE0C7F4" w14:textId="6B9166ED" w:rsidR="0082675C" w:rsidRPr="003F14A4" w:rsidRDefault="0082675C" w:rsidP="0082675C">
            <w:pPr>
              <w:spacing w:after="0" w:line="240" w:lineRule="auto"/>
              <w:jc w:val="both"/>
            </w:pPr>
            <w:r w:rsidRPr="003F14A4">
              <w:t>Jubilaciones y pensiones</w:t>
            </w:r>
          </w:p>
        </w:tc>
        <w:tc>
          <w:tcPr>
            <w:tcW w:w="1782" w:type="dxa"/>
            <w:vAlign w:val="center"/>
            <w:hideMark/>
          </w:tcPr>
          <w:p w14:paraId="5963D40D" w14:textId="5D11229B" w:rsidR="0082675C" w:rsidRPr="004D0DD3" w:rsidRDefault="0082675C" w:rsidP="0082675C">
            <w:pPr>
              <w:spacing w:after="0" w:line="240" w:lineRule="auto"/>
              <w:jc w:val="right"/>
              <w:rPr>
                <w:rFonts w:cs="Calibri"/>
                <w:color w:val="000000"/>
                <w:lang w:eastAsia="es-MX"/>
              </w:rPr>
            </w:pPr>
            <w:r>
              <w:rPr>
                <w:rFonts w:cs="Calibri"/>
                <w:color w:val="000000"/>
              </w:rPr>
              <w:t xml:space="preserve">    1,078,195,648 </w:t>
            </w:r>
          </w:p>
        </w:tc>
        <w:tc>
          <w:tcPr>
            <w:tcW w:w="1378" w:type="dxa"/>
            <w:vAlign w:val="center"/>
            <w:hideMark/>
          </w:tcPr>
          <w:p w14:paraId="65CACC97" w14:textId="6A7B3415" w:rsidR="0082675C" w:rsidRPr="003F14A4" w:rsidRDefault="0082675C" w:rsidP="0082675C">
            <w:pPr>
              <w:spacing w:after="0" w:line="240" w:lineRule="auto"/>
              <w:jc w:val="both"/>
            </w:pPr>
            <w:r w:rsidRPr="003F14A4">
              <w:t>TERCEROS</w:t>
            </w:r>
          </w:p>
        </w:tc>
        <w:tc>
          <w:tcPr>
            <w:tcW w:w="2440" w:type="dxa"/>
            <w:vAlign w:val="center"/>
            <w:hideMark/>
          </w:tcPr>
          <w:p w14:paraId="30179CD7" w14:textId="2DF08CDC" w:rsidR="0082675C" w:rsidRPr="00620003" w:rsidRDefault="0082675C" w:rsidP="0082675C">
            <w:pPr>
              <w:spacing w:after="0" w:line="240" w:lineRule="auto"/>
              <w:jc w:val="both"/>
              <w:rPr>
                <w:sz w:val="21"/>
                <w:szCs w:val="21"/>
              </w:rPr>
            </w:pPr>
            <w:r w:rsidRPr="00620003">
              <w:rPr>
                <w:sz w:val="21"/>
                <w:szCs w:val="21"/>
              </w:rPr>
              <w:t>ADMINISTRAR LOS RECURSOS ASIGNADOS A LA UNIVERSIDAD DE GUANAJUATO EN CADA UNO DE LOS CONVENIOS</w:t>
            </w:r>
          </w:p>
        </w:tc>
      </w:tr>
      <w:tr w:rsidR="0082675C" w:rsidRPr="00620003" w14:paraId="45A7AE87" w14:textId="77777777" w:rsidTr="0082675C">
        <w:trPr>
          <w:trHeight w:val="1020"/>
        </w:trPr>
        <w:tc>
          <w:tcPr>
            <w:tcW w:w="1578" w:type="dxa"/>
            <w:vAlign w:val="center"/>
            <w:hideMark/>
          </w:tcPr>
          <w:p w14:paraId="53AA55CA" w14:textId="5E6E5A2D" w:rsidR="0082675C" w:rsidRPr="003F14A4" w:rsidRDefault="0082675C" w:rsidP="0082675C">
            <w:pPr>
              <w:spacing w:after="0" w:line="240" w:lineRule="auto"/>
              <w:jc w:val="both"/>
            </w:pPr>
            <w:r w:rsidRPr="003F14A4">
              <w:t>1213400050</w:t>
            </w:r>
          </w:p>
        </w:tc>
        <w:tc>
          <w:tcPr>
            <w:tcW w:w="2500" w:type="dxa"/>
            <w:vAlign w:val="center"/>
            <w:hideMark/>
          </w:tcPr>
          <w:p w14:paraId="48AA18A6" w14:textId="77777777" w:rsidR="0082675C" w:rsidRPr="003F14A4" w:rsidRDefault="0082675C" w:rsidP="0082675C">
            <w:pPr>
              <w:spacing w:after="0" w:line="240" w:lineRule="auto"/>
              <w:jc w:val="both"/>
            </w:pPr>
            <w:r w:rsidRPr="003F14A4">
              <w:t>PRODEP 2016</w:t>
            </w:r>
          </w:p>
        </w:tc>
        <w:tc>
          <w:tcPr>
            <w:tcW w:w="1782" w:type="dxa"/>
            <w:vAlign w:val="center"/>
            <w:hideMark/>
          </w:tcPr>
          <w:p w14:paraId="40807238" w14:textId="6CD829C1" w:rsidR="0082675C" w:rsidRPr="003F14A4" w:rsidRDefault="0082675C" w:rsidP="0082675C">
            <w:pPr>
              <w:spacing w:after="0" w:line="240" w:lineRule="auto"/>
              <w:jc w:val="right"/>
            </w:pPr>
            <w:r>
              <w:rPr>
                <w:rFonts w:cs="Calibri"/>
                <w:color w:val="000000"/>
              </w:rPr>
              <w:t xml:space="preserve">          91,385,902 </w:t>
            </w:r>
          </w:p>
        </w:tc>
        <w:tc>
          <w:tcPr>
            <w:tcW w:w="1378" w:type="dxa"/>
            <w:vAlign w:val="center"/>
            <w:hideMark/>
          </w:tcPr>
          <w:p w14:paraId="1AAAA6FD" w14:textId="77777777" w:rsidR="0082675C" w:rsidRPr="003F14A4" w:rsidRDefault="0082675C" w:rsidP="0082675C">
            <w:pPr>
              <w:spacing w:after="0" w:line="240" w:lineRule="auto"/>
              <w:jc w:val="both"/>
            </w:pPr>
            <w:r w:rsidRPr="003F14A4">
              <w:t>TERCEROS</w:t>
            </w:r>
          </w:p>
        </w:tc>
        <w:tc>
          <w:tcPr>
            <w:tcW w:w="2440" w:type="dxa"/>
            <w:vAlign w:val="center"/>
            <w:hideMark/>
          </w:tcPr>
          <w:p w14:paraId="1FD4E6D1" w14:textId="77777777" w:rsidR="0082675C" w:rsidRPr="00620003" w:rsidRDefault="0082675C" w:rsidP="0082675C">
            <w:pPr>
              <w:spacing w:after="0" w:line="240" w:lineRule="auto"/>
              <w:jc w:val="both"/>
              <w:rPr>
                <w:sz w:val="21"/>
                <w:szCs w:val="21"/>
              </w:rPr>
            </w:pPr>
            <w:r w:rsidRPr="00620003">
              <w:rPr>
                <w:sz w:val="21"/>
                <w:szCs w:val="21"/>
              </w:rPr>
              <w:t>ADMINISTRAR LOS RECURSOS ASIGNADOS A LA UNIVERSIDAD DE GUANAJUATO EN CADA UNO DE LOS CONVENIOS</w:t>
            </w:r>
          </w:p>
        </w:tc>
      </w:tr>
      <w:tr w:rsidR="0082675C" w:rsidRPr="00620003" w14:paraId="54CED537" w14:textId="77777777" w:rsidTr="0082675C">
        <w:trPr>
          <w:trHeight w:val="204"/>
        </w:trPr>
        <w:tc>
          <w:tcPr>
            <w:tcW w:w="1578" w:type="dxa"/>
            <w:vAlign w:val="center"/>
          </w:tcPr>
          <w:p w14:paraId="4CDF3946" w14:textId="20CD4D00" w:rsidR="0082675C" w:rsidRPr="00E5213C" w:rsidRDefault="0082675C" w:rsidP="0082675C">
            <w:pPr>
              <w:spacing w:after="0" w:line="240" w:lineRule="auto"/>
              <w:jc w:val="both"/>
            </w:pPr>
            <w:r w:rsidRPr="00CD7372">
              <w:t>1213400450</w:t>
            </w:r>
          </w:p>
        </w:tc>
        <w:tc>
          <w:tcPr>
            <w:tcW w:w="2500" w:type="dxa"/>
            <w:vAlign w:val="center"/>
          </w:tcPr>
          <w:p w14:paraId="2AA5102B" w14:textId="77777777" w:rsidR="0082675C" w:rsidRPr="006E23B6" w:rsidRDefault="0082675C" w:rsidP="0082675C">
            <w:pPr>
              <w:spacing w:after="0" w:line="240" w:lineRule="auto"/>
              <w:jc w:val="both"/>
            </w:pPr>
            <w:r w:rsidRPr="00CD7372">
              <w:t>PRODEP 2019</w:t>
            </w:r>
          </w:p>
        </w:tc>
        <w:tc>
          <w:tcPr>
            <w:tcW w:w="1782" w:type="dxa"/>
            <w:vAlign w:val="center"/>
          </w:tcPr>
          <w:p w14:paraId="1969FE04" w14:textId="519E8D1C" w:rsidR="0082675C" w:rsidRPr="00CD7372" w:rsidRDefault="0082675C" w:rsidP="0082675C">
            <w:pPr>
              <w:jc w:val="right"/>
            </w:pPr>
            <w:r>
              <w:rPr>
                <w:rFonts w:cs="Calibri"/>
                <w:color w:val="000000"/>
              </w:rPr>
              <w:t xml:space="preserve">                350,201 </w:t>
            </w:r>
          </w:p>
        </w:tc>
        <w:tc>
          <w:tcPr>
            <w:tcW w:w="1378" w:type="dxa"/>
            <w:vAlign w:val="center"/>
          </w:tcPr>
          <w:p w14:paraId="1242A25E" w14:textId="77777777" w:rsidR="0082675C" w:rsidRPr="006353E5" w:rsidRDefault="0082675C" w:rsidP="0082675C">
            <w:pPr>
              <w:spacing w:after="0" w:line="240" w:lineRule="auto"/>
              <w:jc w:val="both"/>
            </w:pPr>
            <w:r w:rsidRPr="006353E5">
              <w:t>TERCEROS</w:t>
            </w:r>
          </w:p>
        </w:tc>
        <w:tc>
          <w:tcPr>
            <w:tcW w:w="2440" w:type="dxa"/>
            <w:vAlign w:val="center"/>
          </w:tcPr>
          <w:p w14:paraId="215BAB7E" w14:textId="77777777" w:rsidR="0082675C" w:rsidRPr="00620003" w:rsidRDefault="0082675C" w:rsidP="0082675C">
            <w:pPr>
              <w:spacing w:after="0" w:line="240" w:lineRule="auto"/>
              <w:jc w:val="both"/>
              <w:rPr>
                <w:sz w:val="21"/>
                <w:szCs w:val="21"/>
              </w:rPr>
            </w:pPr>
            <w:r w:rsidRPr="00620003">
              <w:rPr>
                <w:sz w:val="21"/>
                <w:szCs w:val="21"/>
              </w:rPr>
              <w:t>ADMINISTRAR LOS RECURSOS ASIGNADOS A LA UNIVERSIDAD DE GUANAJUATO EN CADA UNO DE LOS CONVENIOS</w:t>
            </w:r>
          </w:p>
        </w:tc>
      </w:tr>
      <w:tr w:rsidR="0082675C" w:rsidRPr="00E26F29" w14:paraId="1760E676" w14:textId="77777777" w:rsidTr="0082675C">
        <w:trPr>
          <w:trHeight w:val="204"/>
        </w:trPr>
        <w:tc>
          <w:tcPr>
            <w:tcW w:w="1578" w:type="dxa"/>
            <w:hideMark/>
          </w:tcPr>
          <w:p w14:paraId="1DD69405" w14:textId="77777777" w:rsidR="0082675C" w:rsidRPr="00E26F29" w:rsidRDefault="0082675C" w:rsidP="0082675C">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4BF95304" w14:textId="77777777" w:rsidR="0082675C" w:rsidRPr="00E26F29" w:rsidRDefault="0082675C" w:rsidP="0082675C">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vAlign w:val="center"/>
            <w:hideMark/>
          </w:tcPr>
          <w:p w14:paraId="36F29A11" w14:textId="4DA800C1" w:rsidR="0082675C" w:rsidRPr="00E26F29" w:rsidRDefault="0082675C" w:rsidP="0082675C">
            <w:pPr>
              <w:spacing w:after="0" w:line="240" w:lineRule="auto"/>
              <w:jc w:val="right"/>
              <w:rPr>
                <w:rFonts w:ascii="Trebuchet MS" w:hAnsi="Trebuchet MS"/>
                <w:b/>
                <w:bCs/>
                <w:sz w:val="20"/>
                <w:szCs w:val="20"/>
              </w:rPr>
            </w:pPr>
            <w:r>
              <w:rPr>
                <w:rFonts w:cs="Calibri"/>
                <w:color w:val="000000"/>
              </w:rPr>
              <w:t xml:space="preserve">    1,169,931,751 </w:t>
            </w:r>
          </w:p>
        </w:tc>
        <w:tc>
          <w:tcPr>
            <w:tcW w:w="1378" w:type="dxa"/>
            <w:hideMark/>
          </w:tcPr>
          <w:p w14:paraId="140D614F" w14:textId="77777777" w:rsidR="0082675C" w:rsidRPr="00E26F29" w:rsidRDefault="0082675C" w:rsidP="0082675C">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605AD316" w14:textId="77777777" w:rsidR="0082675C" w:rsidRPr="00E26F29" w:rsidRDefault="0082675C" w:rsidP="0082675C">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11" w:name="_Toc161472874"/>
      <w:bookmarkStart w:id="12" w:name="_Hlk189051966"/>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11"/>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A1D927E" w14:textId="77777777" w:rsidR="00A326C9" w:rsidRDefault="00A326C9" w:rsidP="00CB41C4">
      <w:pPr>
        <w:tabs>
          <w:tab w:val="left" w:leader="underscore" w:pos="9639"/>
        </w:tabs>
        <w:spacing w:after="0" w:line="240" w:lineRule="auto"/>
        <w:jc w:val="both"/>
        <w:rPr>
          <w:rFonts w:cs="Calibri"/>
        </w:rPr>
      </w:pPr>
    </w:p>
    <w:p w14:paraId="3EC0FA77" w14:textId="77777777" w:rsidR="0066481B" w:rsidRDefault="0066481B" w:rsidP="00CB41C4">
      <w:pPr>
        <w:tabs>
          <w:tab w:val="left" w:leader="underscore" w:pos="9639"/>
        </w:tabs>
        <w:spacing w:after="0" w:line="240" w:lineRule="auto"/>
        <w:jc w:val="both"/>
        <w:rPr>
          <w:rFonts w:cs="Calibri"/>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74"/>
        <w:gridCol w:w="1332"/>
        <w:gridCol w:w="1333"/>
        <w:gridCol w:w="1332"/>
        <w:gridCol w:w="1333"/>
      </w:tblGrid>
      <w:tr w:rsidR="00D52FFD" w:rsidRPr="00D47571" w14:paraId="1D3D8217" w14:textId="77777777" w:rsidTr="003D2E97">
        <w:tc>
          <w:tcPr>
            <w:tcW w:w="2410" w:type="dxa"/>
            <w:vAlign w:val="bottom"/>
          </w:tcPr>
          <w:p w14:paraId="62D6CEBD" w14:textId="77777777" w:rsidR="00D52FFD" w:rsidRPr="00D47571" w:rsidRDefault="00D52FFD" w:rsidP="00D52FFD">
            <w:pPr>
              <w:tabs>
                <w:tab w:val="left" w:leader="underscore" w:pos="9639"/>
              </w:tabs>
              <w:jc w:val="center"/>
              <w:rPr>
                <w:b/>
                <w:bCs/>
                <w:sz w:val="16"/>
                <w:szCs w:val="16"/>
              </w:rPr>
            </w:pPr>
            <w:r w:rsidRPr="00D47571">
              <w:rPr>
                <w:b/>
                <w:bCs/>
                <w:sz w:val="16"/>
                <w:szCs w:val="16"/>
              </w:rPr>
              <w:t>Rubro</w:t>
            </w:r>
          </w:p>
        </w:tc>
        <w:tc>
          <w:tcPr>
            <w:tcW w:w="1474" w:type="dxa"/>
            <w:vAlign w:val="bottom"/>
          </w:tcPr>
          <w:p w14:paraId="65C60C03" w14:textId="0E2AC629"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sidR="0082675C">
              <w:rPr>
                <w:b/>
                <w:bCs/>
                <w:sz w:val="16"/>
                <w:szCs w:val="16"/>
              </w:rPr>
              <w:t>6</w:t>
            </w:r>
          </w:p>
        </w:tc>
        <w:tc>
          <w:tcPr>
            <w:tcW w:w="1332" w:type="dxa"/>
            <w:vAlign w:val="bottom"/>
          </w:tcPr>
          <w:p w14:paraId="79C7C9BF" w14:textId="2AD55B8A"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sidR="0082675C">
              <w:rPr>
                <w:b/>
                <w:bCs/>
                <w:sz w:val="16"/>
                <w:szCs w:val="16"/>
              </w:rPr>
              <w:t>5</w:t>
            </w:r>
          </w:p>
        </w:tc>
        <w:tc>
          <w:tcPr>
            <w:tcW w:w="1333" w:type="dxa"/>
            <w:vAlign w:val="bottom"/>
          </w:tcPr>
          <w:p w14:paraId="00938B7E" w14:textId="77F5E477"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sidR="0082675C">
              <w:rPr>
                <w:b/>
                <w:bCs/>
                <w:sz w:val="16"/>
                <w:szCs w:val="16"/>
              </w:rPr>
              <w:t>4</w:t>
            </w:r>
          </w:p>
        </w:tc>
        <w:tc>
          <w:tcPr>
            <w:tcW w:w="1332" w:type="dxa"/>
            <w:vAlign w:val="bottom"/>
          </w:tcPr>
          <w:p w14:paraId="375B11DA" w14:textId="5F52AD7C"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sidR="0082675C">
              <w:rPr>
                <w:b/>
                <w:bCs/>
                <w:sz w:val="16"/>
                <w:szCs w:val="16"/>
              </w:rPr>
              <w:t>3</w:t>
            </w:r>
          </w:p>
        </w:tc>
        <w:tc>
          <w:tcPr>
            <w:tcW w:w="1333" w:type="dxa"/>
            <w:vAlign w:val="bottom"/>
          </w:tcPr>
          <w:p w14:paraId="3BC8B110" w14:textId="170624D1"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sidR="0082675C">
              <w:rPr>
                <w:b/>
                <w:bCs/>
                <w:sz w:val="16"/>
                <w:szCs w:val="16"/>
              </w:rPr>
              <w:t>2</w:t>
            </w:r>
          </w:p>
        </w:tc>
      </w:tr>
      <w:tr w:rsidR="00FB245A" w:rsidRPr="00D47571" w14:paraId="55CED5BA" w14:textId="77777777" w:rsidTr="00511FC9">
        <w:tc>
          <w:tcPr>
            <w:tcW w:w="2410" w:type="dxa"/>
            <w:vAlign w:val="bottom"/>
          </w:tcPr>
          <w:p w14:paraId="5BB46693" w14:textId="707D38A1" w:rsidR="00FB245A" w:rsidRPr="00D47571" w:rsidRDefault="00FB245A" w:rsidP="00C04624">
            <w:pPr>
              <w:tabs>
                <w:tab w:val="left" w:leader="underscore" w:pos="9639"/>
              </w:tabs>
              <w:spacing w:after="120"/>
              <w:rPr>
                <w:sz w:val="16"/>
                <w:szCs w:val="16"/>
              </w:rPr>
            </w:pPr>
            <w:r w:rsidRPr="00D47571">
              <w:rPr>
                <w:color w:val="000000"/>
                <w:sz w:val="16"/>
                <w:szCs w:val="16"/>
              </w:rPr>
              <w:t xml:space="preserve">Ingresos </w:t>
            </w:r>
            <w:r>
              <w:rPr>
                <w:color w:val="000000"/>
                <w:sz w:val="16"/>
                <w:szCs w:val="16"/>
              </w:rPr>
              <w:t>Estatales</w:t>
            </w:r>
          </w:p>
        </w:tc>
        <w:tc>
          <w:tcPr>
            <w:tcW w:w="1474" w:type="dxa"/>
          </w:tcPr>
          <w:p w14:paraId="32CFF46A" w14:textId="44B804B3" w:rsidR="00FB245A" w:rsidRPr="009D1E96" w:rsidRDefault="00FB245A" w:rsidP="00C04624">
            <w:pPr>
              <w:tabs>
                <w:tab w:val="left" w:pos="36"/>
                <w:tab w:val="decimal" w:pos="1170"/>
              </w:tabs>
              <w:spacing w:after="120"/>
              <w:ind w:left="36" w:right="37"/>
              <w:jc w:val="right"/>
              <w:rPr>
                <w:color w:val="000000"/>
                <w:sz w:val="16"/>
                <w:szCs w:val="16"/>
              </w:rPr>
            </w:pPr>
            <w:r w:rsidRPr="009D1E96">
              <w:rPr>
                <w:color w:val="000000"/>
                <w:sz w:val="16"/>
                <w:szCs w:val="16"/>
              </w:rPr>
              <w:t>$</w:t>
            </w:r>
            <w:r w:rsidRPr="00FB245A">
              <w:rPr>
                <w:color w:val="000000"/>
                <w:sz w:val="16"/>
                <w:szCs w:val="16"/>
              </w:rPr>
              <w:t>546</w:t>
            </w:r>
            <w:r>
              <w:rPr>
                <w:color w:val="000000"/>
                <w:sz w:val="16"/>
                <w:szCs w:val="16"/>
              </w:rPr>
              <w:t>,</w:t>
            </w:r>
            <w:r w:rsidRPr="00FB245A">
              <w:rPr>
                <w:color w:val="000000"/>
                <w:sz w:val="16"/>
                <w:szCs w:val="16"/>
              </w:rPr>
              <w:t>500</w:t>
            </w:r>
            <w:r>
              <w:rPr>
                <w:color w:val="000000"/>
                <w:sz w:val="16"/>
                <w:szCs w:val="16"/>
              </w:rPr>
              <w:t>,</w:t>
            </w:r>
            <w:r w:rsidRPr="00FB245A">
              <w:rPr>
                <w:color w:val="000000"/>
                <w:sz w:val="16"/>
                <w:szCs w:val="16"/>
              </w:rPr>
              <w:t>496</w:t>
            </w:r>
          </w:p>
        </w:tc>
        <w:tc>
          <w:tcPr>
            <w:tcW w:w="1332" w:type="dxa"/>
            <w:vAlign w:val="bottom"/>
          </w:tcPr>
          <w:p w14:paraId="6EE04645" w14:textId="3C98B594" w:rsidR="00FB245A" w:rsidRPr="00FB245A" w:rsidRDefault="00FB245A" w:rsidP="00C04624">
            <w:pPr>
              <w:tabs>
                <w:tab w:val="left" w:pos="36"/>
                <w:tab w:val="decimal" w:pos="1170"/>
              </w:tabs>
              <w:spacing w:after="120"/>
              <w:ind w:left="36" w:right="37"/>
              <w:jc w:val="right"/>
              <w:rPr>
                <w:color w:val="000000"/>
                <w:sz w:val="16"/>
                <w:szCs w:val="16"/>
              </w:rPr>
            </w:pPr>
            <w:r>
              <w:rPr>
                <w:color w:val="000000"/>
                <w:sz w:val="16"/>
                <w:szCs w:val="16"/>
              </w:rPr>
              <w:t>$</w:t>
            </w:r>
            <w:r w:rsidRPr="00FB245A">
              <w:rPr>
                <w:color w:val="000000"/>
                <w:sz w:val="16"/>
                <w:szCs w:val="16"/>
              </w:rPr>
              <w:t>1,925,400,399</w:t>
            </w:r>
          </w:p>
        </w:tc>
        <w:tc>
          <w:tcPr>
            <w:tcW w:w="1333" w:type="dxa"/>
            <w:vAlign w:val="center"/>
          </w:tcPr>
          <w:p w14:paraId="2CF4B503" w14:textId="02E1CBD3" w:rsidR="00FB245A" w:rsidRPr="00D47571" w:rsidRDefault="00FB245A" w:rsidP="00C04624">
            <w:pPr>
              <w:tabs>
                <w:tab w:val="left" w:pos="36"/>
                <w:tab w:val="decimal" w:pos="1170"/>
              </w:tabs>
              <w:spacing w:after="120"/>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1,872,705,577</w:t>
            </w:r>
          </w:p>
        </w:tc>
        <w:tc>
          <w:tcPr>
            <w:tcW w:w="1332" w:type="dxa"/>
            <w:vAlign w:val="center"/>
          </w:tcPr>
          <w:p w14:paraId="42D0F5F4" w14:textId="79902FE2" w:rsidR="00FB245A" w:rsidRPr="00D47571" w:rsidRDefault="00FB245A" w:rsidP="00C04624">
            <w:pPr>
              <w:tabs>
                <w:tab w:val="left" w:pos="36"/>
                <w:tab w:val="decimal" w:pos="1170"/>
              </w:tabs>
              <w:spacing w:after="120"/>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1,785,246,168</w:t>
            </w:r>
          </w:p>
        </w:tc>
        <w:tc>
          <w:tcPr>
            <w:tcW w:w="1333" w:type="dxa"/>
            <w:vAlign w:val="center"/>
          </w:tcPr>
          <w:p w14:paraId="65785E84" w14:textId="65A7B2E8" w:rsidR="00FB245A" w:rsidRPr="00D47571" w:rsidRDefault="00FB245A" w:rsidP="00C04624">
            <w:pPr>
              <w:tabs>
                <w:tab w:val="left" w:pos="36"/>
                <w:tab w:val="decimal" w:pos="1170"/>
              </w:tabs>
              <w:spacing w:after="120"/>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1,569,396,610</w:t>
            </w:r>
          </w:p>
        </w:tc>
      </w:tr>
      <w:tr w:rsidR="00FB245A" w:rsidRPr="00D47571" w14:paraId="2C12B120" w14:textId="77777777" w:rsidTr="00511FC9">
        <w:tc>
          <w:tcPr>
            <w:tcW w:w="2410" w:type="dxa"/>
            <w:vAlign w:val="bottom"/>
          </w:tcPr>
          <w:p w14:paraId="7AEA305C" w14:textId="76DA2306" w:rsidR="00FB245A" w:rsidRPr="00D47571" w:rsidRDefault="00FB245A" w:rsidP="00C04624">
            <w:pPr>
              <w:tabs>
                <w:tab w:val="left" w:leader="underscore" w:pos="9639"/>
              </w:tabs>
              <w:spacing w:after="120"/>
              <w:ind w:left="179" w:hanging="179"/>
              <w:rPr>
                <w:sz w:val="16"/>
                <w:szCs w:val="16"/>
              </w:rPr>
            </w:pPr>
            <w:r>
              <w:rPr>
                <w:color w:val="000000"/>
                <w:sz w:val="16"/>
                <w:szCs w:val="16"/>
              </w:rPr>
              <w:t>Ingresos Federales</w:t>
            </w:r>
          </w:p>
        </w:tc>
        <w:tc>
          <w:tcPr>
            <w:tcW w:w="1474" w:type="dxa"/>
          </w:tcPr>
          <w:p w14:paraId="054E39EE" w14:textId="0AAEEE25" w:rsidR="00FB245A" w:rsidRPr="009D1E96" w:rsidRDefault="00FB245A" w:rsidP="00C04624">
            <w:pPr>
              <w:tabs>
                <w:tab w:val="left" w:pos="36"/>
                <w:tab w:val="decimal" w:pos="1170"/>
              </w:tabs>
              <w:spacing w:after="120"/>
              <w:ind w:left="36" w:right="37"/>
              <w:jc w:val="right"/>
              <w:rPr>
                <w:color w:val="000000"/>
                <w:sz w:val="16"/>
                <w:szCs w:val="16"/>
                <w:u w:val="single"/>
              </w:rPr>
            </w:pPr>
            <w:r w:rsidRPr="00FB245A">
              <w:rPr>
                <w:color w:val="000000"/>
                <w:sz w:val="16"/>
                <w:szCs w:val="16"/>
                <w:u w:val="single"/>
              </w:rPr>
              <w:t>789</w:t>
            </w:r>
            <w:r>
              <w:rPr>
                <w:color w:val="000000"/>
                <w:sz w:val="16"/>
                <w:szCs w:val="16"/>
                <w:u w:val="single"/>
              </w:rPr>
              <w:t>,</w:t>
            </w:r>
            <w:r w:rsidRPr="00FB245A">
              <w:rPr>
                <w:color w:val="000000"/>
                <w:sz w:val="16"/>
                <w:szCs w:val="16"/>
                <w:u w:val="single"/>
              </w:rPr>
              <w:t>889</w:t>
            </w:r>
            <w:r>
              <w:rPr>
                <w:color w:val="000000"/>
                <w:sz w:val="16"/>
                <w:szCs w:val="16"/>
                <w:u w:val="single"/>
              </w:rPr>
              <w:t>,</w:t>
            </w:r>
            <w:r w:rsidRPr="00FB245A">
              <w:rPr>
                <w:color w:val="000000"/>
                <w:sz w:val="16"/>
                <w:szCs w:val="16"/>
                <w:u w:val="single"/>
              </w:rPr>
              <w:t>664</w:t>
            </w:r>
          </w:p>
        </w:tc>
        <w:tc>
          <w:tcPr>
            <w:tcW w:w="1332" w:type="dxa"/>
            <w:vAlign w:val="bottom"/>
          </w:tcPr>
          <w:p w14:paraId="2511005B" w14:textId="025892D4" w:rsidR="00FB245A" w:rsidRPr="00FB245A" w:rsidRDefault="00FB245A" w:rsidP="00C04624">
            <w:pPr>
              <w:tabs>
                <w:tab w:val="left" w:pos="36"/>
                <w:tab w:val="decimal" w:pos="1170"/>
              </w:tabs>
              <w:spacing w:after="120"/>
              <w:ind w:left="36" w:right="37"/>
              <w:jc w:val="right"/>
              <w:rPr>
                <w:color w:val="000000"/>
                <w:sz w:val="16"/>
                <w:szCs w:val="16"/>
                <w:u w:val="single"/>
              </w:rPr>
            </w:pPr>
            <w:r w:rsidRPr="00FB245A">
              <w:rPr>
                <w:color w:val="000000"/>
                <w:sz w:val="16"/>
                <w:szCs w:val="16"/>
                <w:u w:val="single"/>
              </w:rPr>
              <w:t>2,407,958,857</w:t>
            </w:r>
          </w:p>
        </w:tc>
        <w:tc>
          <w:tcPr>
            <w:tcW w:w="1333" w:type="dxa"/>
            <w:vAlign w:val="center"/>
          </w:tcPr>
          <w:p w14:paraId="184772EF" w14:textId="7C95A005" w:rsidR="00FB245A" w:rsidRPr="00A326C9" w:rsidRDefault="00FB245A" w:rsidP="00C04624">
            <w:pPr>
              <w:tabs>
                <w:tab w:val="left" w:pos="36"/>
                <w:tab w:val="decimal" w:pos="1170"/>
              </w:tabs>
              <w:spacing w:after="120"/>
              <w:ind w:left="36" w:right="37"/>
              <w:jc w:val="right"/>
              <w:rPr>
                <w:sz w:val="16"/>
                <w:szCs w:val="16"/>
                <w:u w:val="single"/>
              </w:rPr>
            </w:pPr>
            <w:r w:rsidRPr="00A326C9">
              <w:rPr>
                <w:rFonts w:cs="Calibri"/>
                <w:color w:val="000000"/>
                <w:sz w:val="16"/>
                <w:szCs w:val="16"/>
                <w:u w:val="single"/>
              </w:rPr>
              <w:t>2,366,112,016</w:t>
            </w:r>
          </w:p>
        </w:tc>
        <w:tc>
          <w:tcPr>
            <w:tcW w:w="1332" w:type="dxa"/>
            <w:vAlign w:val="center"/>
          </w:tcPr>
          <w:p w14:paraId="0811066E" w14:textId="23F89C9D" w:rsidR="00FB245A" w:rsidRPr="00A326C9" w:rsidRDefault="00FB245A" w:rsidP="00C04624">
            <w:pPr>
              <w:tabs>
                <w:tab w:val="left" w:pos="36"/>
                <w:tab w:val="decimal" w:pos="1170"/>
              </w:tabs>
              <w:spacing w:after="120"/>
              <w:ind w:left="36" w:right="37"/>
              <w:jc w:val="right"/>
              <w:rPr>
                <w:color w:val="000000"/>
                <w:sz w:val="16"/>
                <w:szCs w:val="16"/>
                <w:u w:val="single"/>
              </w:rPr>
            </w:pPr>
            <w:r w:rsidRPr="00A326C9">
              <w:rPr>
                <w:rFonts w:cs="Calibri"/>
                <w:color w:val="000000"/>
                <w:sz w:val="16"/>
                <w:szCs w:val="16"/>
                <w:u w:val="single"/>
              </w:rPr>
              <w:t>2,263,034,049</w:t>
            </w:r>
          </w:p>
        </w:tc>
        <w:tc>
          <w:tcPr>
            <w:tcW w:w="1333" w:type="dxa"/>
            <w:vAlign w:val="center"/>
          </w:tcPr>
          <w:p w14:paraId="10306801" w14:textId="09ADAE71" w:rsidR="00FB245A" w:rsidRPr="00A326C9" w:rsidRDefault="00FB245A" w:rsidP="00C04624">
            <w:pPr>
              <w:tabs>
                <w:tab w:val="left" w:pos="36"/>
                <w:tab w:val="decimal" w:pos="1170"/>
              </w:tabs>
              <w:spacing w:after="120"/>
              <w:ind w:left="36" w:right="37"/>
              <w:jc w:val="right"/>
              <w:rPr>
                <w:color w:val="000000"/>
                <w:sz w:val="16"/>
                <w:szCs w:val="16"/>
                <w:u w:val="single"/>
              </w:rPr>
            </w:pPr>
            <w:r w:rsidRPr="00A326C9">
              <w:rPr>
                <w:rFonts w:cs="Calibri"/>
                <w:color w:val="000000"/>
                <w:sz w:val="16"/>
                <w:szCs w:val="16"/>
                <w:u w:val="single"/>
              </w:rPr>
              <w:t>2,132,021,610</w:t>
            </w:r>
          </w:p>
        </w:tc>
      </w:tr>
      <w:tr w:rsidR="00FB245A" w:rsidRPr="00D47571" w14:paraId="5BA2AAF2" w14:textId="77777777" w:rsidTr="00511FC9">
        <w:tc>
          <w:tcPr>
            <w:tcW w:w="2410" w:type="dxa"/>
          </w:tcPr>
          <w:p w14:paraId="15161366" w14:textId="77777777" w:rsidR="00FB245A" w:rsidRPr="00D47571" w:rsidRDefault="00FB245A" w:rsidP="00C04624">
            <w:pPr>
              <w:tabs>
                <w:tab w:val="left" w:leader="underscore" w:pos="9639"/>
              </w:tabs>
              <w:spacing w:after="120"/>
              <w:rPr>
                <w:sz w:val="16"/>
                <w:szCs w:val="16"/>
              </w:rPr>
            </w:pPr>
          </w:p>
        </w:tc>
        <w:tc>
          <w:tcPr>
            <w:tcW w:w="1474" w:type="dxa"/>
          </w:tcPr>
          <w:p w14:paraId="0AF2F3A5" w14:textId="6C5D0E5E" w:rsidR="00FB245A" w:rsidRPr="009D1E96" w:rsidRDefault="00FB245A" w:rsidP="00C04624">
            <w:pPr>
              <w:tabs>
                <w:tab w:val="left" w:pos="36"/>
                <w:tab w:val="decimal" w:pos="1170"/>
              </w:tabs>
              <w:spacing w:after="120"/>
              <w:ind w:left="36" w:right="37"/>
              <w:jc w:val="right"/>
              <w:rPr>
                <w:color w:val="000000"/>
                <w:sz w:val="16"/>
                <w:szCs w:val="16"/>
                <w:u w:val="double"/>
              </w:rPr>
            </w:pPr>
            <w:r w:rsidRPr="009D1E96">
              <w:rPr>
                <w:color w:val="000000"/>
                <w:sz w:val="16"/>
                <w:szCs w:val="16"/>
                <w:u w:val="double"/>
              </w:rPr>
              <w:t>$</w:t>
            </w:r>
            <w:r w:rsidRPr="001A65D3">
              <w:rPr>
                <w:color w:val="000000"/>
                <w:sz w:val="16"/>
                <w:szCs w:val="16"/>
                <w:u w:val="double"/>
              </w:rPr>
              <w:tab/>
            </w:r>
            <w:r w:rsidRPr="00FB245A">
              <w:rPr>
                <w:color w:val="000000"/>
                <w:sz w:val="16"/>
                <w:szCs w:val="16"/>
                <w:u w:val="double"/>
              </w:rPr>
              <w:t>1</w:t>
            </w:r>
            <w:r>
              <w:rPr>
                <w:color w:val="000000"/>
                <w:sz w:val="16"/>
                <w:szCs w:val="16"/>
                <w:u w:val="double"/>
              </w:rPr>
              <w:t>,</w:t>
            </w:r>
            <w:r w:rsidRPr="00FB245A">
              <w:rPr>
                <w:color w:val="000000"/>
                <w:sz w:val="16"/>
                <w:szCs w:val="16"/>
                <w:u w:val="double"/>
              </w:rPr>
              <w:t>336</w:t>
            </w:r>
            <w:r>
              <w:rPr>
                <w:color w:val="000000"/>
                <w:sz w:val="16"/>
                <w:szCs w:val="16"/>
                <w:u w:val="double"/>
              </w:rPr>
              <w:t>,</w:t>
            </w:r>
            <w:r w:rsidRPr="00FB245A">
              <w:rPr>
                <w:color w:val="000000"/>
                <w:sz w:val="16"/>
                <w:szCs w:val="16"/>
                <w:u w:val="double"/>
              </w:rPr>
              <w:t>390</w:t>
            </w:r>
            <w:r>
              <w:rPr>
                <w:color w:val="000000"/>
                <w:sz w:val="16"/>
                <w:szCs w:val="16"/>
                <w:u w:val="double"/>
              </w:rPr>
              <w:t>,</w:t>
            </w:r>
            <w:r w:rsidRPr="00FB245A">
              <w:rPr>
                <w:color w:val="000000"/>
                <w:sz w:val="16"/>
                <w:szCs w:val="16"/>
                <w:u w:val="double"/>
              </w:rPr>
              <w:t>160</w:t>
            </w:r>
          </w:p>
        </w:tc>
        <w:tc>
          <w:tcPr>
            <w:tcW w:w="1332" w:type="dxa"/>
            <w:vAlign w:val="bottom"/>
          </w:tcPr>
          <w:p w14:paraId="2579AE46" w14:textId="4656C421" w:rsidR="00FB245A" w:rsidRPr="00FB245A" w:rsidRDefault="00FB245A" w:rsidP="00C04624">
            <w:pPr>
              <w:tabs>
                <w:tab w:val="left" w:pos="36"/>
                <w:tab w:val="decimal" w:pos="1170"/>
              </w:tabs>
              <w:spacing w:after="120"/>
              <w:ind w:left="36" w:right="37"/>
              <w:jc w:val="right"/>
              <w:rPr>
                <w:color w:val="000000"/>
                <w:sz w:val="16"/>
                <w:szCs w:val="16"/>
              </w:rPr>
            </w:pPr>
            <w:r w:rsidRPr="009D1E96">
              <w:rPr>
                <w:color w:val="000000"/>
                <w:sz w:val="16"/>
                <w:szCs w:val="16"/>
                <w:u w:val="double"/>
              </w:rPr>
              <w:t>$</w:t>
            </w:r>
            <w:r w:rsidRPr="001A65D3">
              <w:rPr>
                <w:color w:val="000000"/>
                <w:sz w:val="16"/>
                <w:szCs w:val="16"/>
                <w:u w:val="double"/>
              </w:rPr>
              <w:tab/>
            </w:r>
            <w:r w:rsidRPr="00FB245A">
              <w:rPr>
                <w:color w:val="000000"/>
                <w:sz w:val="16"/>
                <w:szCs w:val="16"/>
                <w:u w:val="double"/>
              </w:rPr>
              <w:t>4,333,359,256</w:t>
            </w:r>
          </w:p>
        </w:tc>
        <w:tc>
          <w:tcPr>
            <w:tcW w:w="1333" w:type="dxa"/>
            <w:vAlign w:val="center"/>
          </w:tcPr>
          <w:p w14:paraId="481F8926" w14:textId="7E7433D8" w:rsidR="00FB245A" w:rsidRPr="005C427D" w:rsidRDefault="00FB245A" w:rsidP="00C04624">
            <w:pPr>
              <w:tabs>
                <w:tab w:val="left" w:pos="0"/>
                <w:tab w:val="decimal" w:pos="1114"/>
                <w:tab w:val="left" w:leader="underscore" w:pos="9639"/>
              </w:tabs>
              <w:spacing w:after="120"/>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4,238,817,593</w:t>
            </w:r>
          </w:p>
        </w:tc>
        <w:tc>
          <w:tcPr>
            <w:tcW w:w="1332" w:type="dxa"/>
            <w:vAlign w:val="center"/>
          </w:tcPr>
          <w:p w14:paraId="7CDD48D9" w14:textId="53EC4683" w:rsidR="00FB245A" w:rsidRPr="005C427D" w:rsidRDefault="00FB245A" w:rsidP="00C04624">
            <w:pPr>
              <w:tabs>
                <w:tab w:val="left" w:pos="0"/>
                <w:tab w:val="decimal" w:pos="1114"/>
                <w:tab w:val="left" w:leader="underscore" w:pos="9639"/>
              </w:tabs>
              <w:spacing w:after="120"/>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4,048,280,217</w:t>
            </w:r>
          </w:p>
        </w:tc>
        <w:tc>
          <w:tcPr>
            <w:tcW w:w="1333" w:type="dxa"/>
            <w:vAlign w:val="center"/>
          </w:tcPr>
          <w:p w14:paraId="5040A910" w14:textId="5881F9EE" w:rsidR="00FB245A" w:rsidRPr="005C427D" w:rsidRDefault="00FB245A" w:rsidP="00C04624">
            <w:pPr>
              <w:tabs>
                <w:tab w:val="left" w:pos="0"/>
                <w:tab w:val="decimal" w:pos="1114"/>
                <w:tab w:val="left" w:leader="underscore" w:pos="9639"/>
              </w:tabs>
              <w:spacing w:after="120"/>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3,701,418,219</w:t>
            </w:r>
          </w:p>
        </w:tc>
      </w:tr>
      <w:bookmarkEnd w:id="12"/>
    </w:tbl>
    <w:p w14:paraId="0A84E17B" w14:textId="77777777" w:rsidR="001A65D3" w:rsidRPr="00582436" w:rsidRDefault="001A65D3" w:rsidP="001A65D3">
      <w:pPr>
        <w:tabs>
          <w:tab w:val="left" w:leader="underscore" w:pos="9639"/>
        </w:tabs>
        <w:rPr>
          <w:sz w:val="20"/>
          <w:szCs w:val="20"/>
          <w:highlight w:val="yellow"/>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92D235" w14:textId="77777777" w:rsidR="0066481B" w:rsidRDefault="0066481B" w:rsidP="00CB41C4">
      <w:pPr>
        <w:tabs>
          <w:tab w:val="left" w:leader="underscore" w:pos="9639"/>
        </w:tabs>
        <w:spacing w:after="0" w:line="240" w:lineRule="auto"/>
        <w:jc w:val="both"/>
        <w:rPr>
          <w:rFonts w:cs="Calibri"/>
        </w:rPr>
      </w:pPr>
    </w:p>
    <w:p w14:paraId="6D76ACC1" w14:textId="77777777" w:rsidR="003D2E97" w:rsidRPr="00E74967" w:rsidRDefault="003D2E97" w:rsidP="00CB41C4">
      <w:pPr>
        <w:tabs>
          <w:tab w:val="left" w:leader="underscore" w:pos="9639"/>
        </w:tabs>
        <w:spacing w:after="0" w:line="240" w:lineRule="auto"/>
        <w:jc w:val="both"/>
        <w:rPr>
          <w:rFonts w:cs="Calibri"/>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74"/>
        <w:gridCol w:w="1332"/>
        <w:gridCol w:w="1333"/>
        <w:gridCol w:w="1332"/>
        <w:gridCol w:w="1333"/>
      </w:tblGrid>
      <w:tr w:rsidR="003D2E97" w:rsidRPr="00D47571" w14:paraId="0DC171DB" w14:textId="77777777" w:rsidTr="003D2E97">
        <w:tc>
          <w:tcPr>
            <w:tcW w:w="2410" w:type="dxa"/>
            <w:vAlign w:val="bottom"/>
          </w:tcPr>
          <w:p w14:paraId="112F59CB" w14:textId="77777777" w:rsidR="003D2E97" w:rsidRPr="00D47571" w:rsidRDefault="003D2E97" w:rsidP="0038424D">
            <w:pPr>
              <w:tabs>
                <w:tab w:val="left" w:leader="underscore" w:pos="9639"/>
              </w:tabs>
              <w:jc w:val="center"/>
              <w:rPr>
                <w:b/>
                <w:bCs/>
                <w:sz w:val="16"/>
                <w:szCs w:val="16"/>
              </w:rPr>
            </w:pPr>
            <w:r w:rsidRPr="00D47571">
              <w:rPr>
                <w:b/>
                <w:bCs/>
                <w:sz w:val="16"/>
                <w:szCs w:val="16"/>
              </w:rPr>
              <w:t>Rubro</w:t>
            </w:r>
          </w:p>
        </w:tc>
        <w:tc>
          <w:tcPr>
            <w:tcW w:w="1474" w:type="dxa"/>
            <w:vAlign w:val="bottom"/>
          </w:tcPr>
          <w:p w14:paraId="60948694" w14:textId="2DD2B511" w:rsidR="003D2E97" w:rsidRPr="00D47571" w:rsidRDefault="003D2E97" w:rsidP="0038424D">
            <w:pPr>
              <w:tabs>
                <w:tab w:val="left" w:pos="36"/>
                <w:tab w:val="decimal" w:pos="1170"/>
              </w:tabs>
              <w:ind w:left="36" w:right="37"/>
              <w:jc w:val="center"/>
              <w:rPr>
                <w:b/>
                <w:bCs/>
                <w:sz w:val="16"/>
                <w:szCs w:val="16"/>
              </w:rPr>
            </w:pPr>
            <w:r w:rsidRPr="00D47571">
              <w:rPr>
                <w:b/>
                <w:bCs/>
                <w:sz w:val="16"/>
                <w:szCs w:val="16"/>
              </w:rPr>
              <w:t>202</w:t>
            </w:r>
            <w:r w:rsidR="0082675C">
              <w:rPr>
                <w:b/>
                <w:bCs/>
                <w:sz w:val="16"/>
                <w:szCs w:val="16"/>
              </w:rPr>
              <w:t>7</w:t>
            </w:r>
          </w:p>
        </w:tc>
        <w:tc>
          <w:tcPr>
            <w:tcW w:w="1332" w:type="dxa"/>
            <w:vAlign w:val="bottom"/>
          </w:tcPr>
          <w:p w14:paraId="3CFBC0B2" w14:textId="4B7B89A5" w:rsidR="003D2E97" w:rsidRPr="00D47571" w:rsidRDefault="003D2E97" w:rsidP="0038424D">
            <w:pPr>
              <w:tabs>
                <w:tab w:val="left" w:pos="36"/>
                <w:tab w:val="decimal" w:pos="1170"/>
              </w:tabs>
              <w:ind w:left="36" w:right="37"/>
              <w:jc w:val="center"/>
              <w:rPr>
                <w:b/>
                <w:bCs/>
                <w:sz w:val="16"/>
                <w:szCs w:val="16"/>
              </w:rPr>
            </w:pPr>
            <w:r>
              <w:rPr>
                <w:b/>
                <w:bCs/>
                <w:sz w:val="16"/>
                <w:szCs w:val="16"/>
              </w:rPr>
              <w:t>202</w:t>
            </w:r>
            <w:r w:rsidR="0082675C">
              <w:rPr>
                <w:b/>
                <w:bCs/>
                <w:sz w:val="16"/>
                <w:szCs w:val="16"/>
              </w:rPr>
              <w:t>8</w:t>
            </w:r>
          </w:p>
        </w:tc>
        <w:tc>
          <w:tcPr>
            <w:tcW w:w="1333" w:type="dxa"/>
            <w:vAlign w:val="bottom"/>
          </w:tcPr>
          <w:p w14:paraId="211C39D8" w14:textId="3AAA039F" w:rsidR="003D2E97" w:rsidRPr="00D47571" w:rsidRDefault="003D2E97" w:rsidP="0038424D">
            <w:pPr>
              <w:tabs>
                <w:tab w:val="left" w:pos="36"/>
                <w:tab w:val="decimal" w:pos="1170"/>
              </w:tabs>
              <w:ind w:left="36" w:right="37"/>
              <w:jc w:val="center"/>
              <w:rPr>
                <w:b/>
                <w:bCs/>
                <w:sz w:val="16"/>
                <w:szCs w:val="16"/>
              </w:rPr>
            </w:pPr>
            <w:r>
              <w:rPr>
                <w:b/>
                <w:bCs/>
                <w:sz w:val="16"/>
                <w:szCs w:val="16"/>
              </w:rPr>
              <w:t>202</w:t>
            </w:r>
            <w:r w:rsidR="0082675C">
              <w:rPr>
                <w:b/>
                <w:bCs/>
                <w:sz w:val="16"/>
                <w:szCs w:val="16"/>
              </w:rPr>
              <w:t>9</w:t>
            </w:r>
          </w:p>
        </w:tc>
        <w:tc>
          <w:tcPr>
            <w:tcW w:w="1332" w:type="dxa"/>
            <w:vAlign w:val="bottom"/>
          </w:tcPr>
          <w:p w14:paraId="52E3CA64" w14:textId="7B28D849" w:rsidR="003D2E97" w:rsidRPr="00D47571" w:rsidRDefault="003D2E97" w:rsidP="0038424D">
            <w:pPr>
              <w:tabs>
                <w:tab w:val="left" w:pos="36"/>
                <w:tab w:val="decimal" w:pos="1170"/>
              </w:tabs>
              <w:ind w:left="36" w:right="37"/>
              <w:jc w:val="center"/>
              <w:rPr>
                <w:b/>
                <w:bCs/>
                <w:sz w:val="16"/>
                <w:szCs w:val="16"/>
              </w:rPr>
            </w:pPr>
            <w:r>
              <w:rPr>
                <w:b/>
                <w:bCs/>
                <w:sz w:val="16"/>
                <w:szCs w:val="16"/>
              </w:rPr>
              <w:t>20</w:t>
            </w:r>
            <w:r w:rsidR="0082675C">
              <w:rPr>
                <w:b/>
                <w:bCs/>
                <w:sz w:val="16"/>
                <w:szCs w:val="16"/>
              </w:rPr>
              <w:t>30</w:t>
            </w:r>
          </w:p>
        </w:tc>
        <w:tc>
          <w:tcPr>
            <w:tcW w:w="1333" w:type="dxa"/>
            <w:vAlign w:val="bottom"/>
          </w:tcPr>
          <w:p w14:paraId="07D83DA4" w14:textId="0312B23C" w:rsidR="003D2E97" w:rsidRPr="00D47571" w:rsidRDefault="003D2E97" w:rsidP="0038424D">
            <w:pPr>
              <w:tabs>
                <w:tab w:val="left" w:pos="36"/>
                <w:tab w:val="decimal" w:pos="1170"/>
              </w:tabs>
              <w:ind w:left="36" w:right="37"/>
              <w:jc w:val="center"/>
              <w:rPr>
                <w:b/>
                <w:bCs/>
                <w:sz w:val="16"/>
                <w:szCs w:val="16"/>
              </w:rPr>
            </w:pPr>
            <w:r>
              <w:rPr>
                <w:b/>
                <w:bCs/>
                <w:sz w:val="16"/>
                <w:szCs w:val="16"/>
              </w:rPr>
              <w:t>203</w:t>
            </w:r>
            <w:r w:rsidR="0082675C">
              <w:rPr>
                <w:b/>
                <w:bCs/>
                <w:sz w:val="16"/>
                <w:szCs w:val="16"/>
              </w:rPr>
              <w:t>1</w:t>
            </w:r>
          </w:p>
        </w:tc>
      </w:tr>
      <w:tr w:rsidR="00C04624" w:rsidRPr="00D47571" w14:paraId="7ADAE6B5" w14:textId="77777777" w:rsidTr="00FB245A">
        <w:trPr>
          <w:trHeight w:val="247"/>
        </w:trPr>
        <w:tc>
          <w:tcPr>
            <w:tcW w:w="2410" w:type="dxa"/>
            <w:vAlign w:val="bottom"/>
          </w:tcPr>
          <w:p w14:paraId="513997A7" w14:textId="77777777" w:rsidR="00C04624" w:rsidRPr="00D47571" w:rsidRDefault="00C04624" w:rsidP="00C04624">
            <w:pPr>
              <w:tabs>
                <w:tab w:val="left" w:leader="underscore" w:pos="9639"/>
              </w:tabs>
              <w:spacing w:after="120"/>
              <w:rPr>
                <w:sz w:val="16"/>
                <w:szCs w:val="16"/>
              </w:rPr>
            </w:pPr>
            <w:r w:rsidRPr="00D47571">
              <w:rPr>
                <w:color w:val="000000"/>
                <w:sz w:val="16"/>
                <w:szCs w:val="16"/>
              </w:rPr>
              <w:t xml:space="preserve">Ingresos </w:t>
            </w:r>
            <w:r>
              <w:rPr>
                <w:color w:val="000000"/>
                <w:sz w:val="16"/>
                <w:szCs w:val="16"/>
              </w:rPr>
              <w:t>Estatales</w:t>
            </w:r>
          </w:p>
        </w:tc>
        <w:tc>
          <w:tcPr>
            <w:tcW w:w="1474" w:type="dxa"/>
            <w:vAlign w:val="bottom"/>
          </w:tcPr>
          <w:p w14:paraId="297BCB3E" w14:textId="6B9A49F0" w:rsidR="00C04624" w:rsidRPr="003D2E97"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2,002,416,415</w:t>
            </w:r>
          </w:p>
        </w:tc>
        <w:tc>
          <w:tcPr>
            <w:tcW w:w="1332" w:type="dxa"/>
            <w:vAlign w:val="bottom"/>
          </w:tcPr>
          <w:p w14:paraId="0D30E0BE" w14:textId="1ADD028F" w:rsidR="00C04624" w:rsidRPr="00FB245A"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2,082,513,072</w:t>
            </w:r>
          </w:p>
        </w:tc>
        <w:tc>
          <w:tcPr>
            <w:tcW w:w="1333" w:type="dxa"/>
            <w:vAlign w:val="bottom"/>
          </w:tcPr>
          <w:p w14:paraId="272A9CFC" w14:textId="49554028" w:rsidR="00C04624" w:rsidRPr="00FB245A"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2,165,813,594</w:t>
            </w:r>
          </w:p>
        </w:tc>
        <w:tc>
          <w:tcPr>
            <w:tcW w:w="1332" w:type="dxa"/>
            <w:vAlign w:val="bottom"/>
          </w:tcPr>
          <w:p w14:paraId="28D53FB9" w14:textId="7F023F66" w:rsidR="00C04624" w:rsidRPr="00FB245A"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2,252,446,138</w:t>
            </w:r>
          </w:p>
        </w:tc>
        <w:tc>
          <w:tcPr>
            <w:tcW w:w="1333" w:type="dxa"/>
            <w:vAlign w:val="bottom"/>
          </w:tcPr>
          <w:p w14:paraId="17FA5D53" w14:textId="091AD612" w:rsidR="00C04624" w:rsidRPr="00FB245A"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2,342,543,984</w:t>
            </w:r>
          </w:p>
        </w:tc>
      </w:tr>
      <w:tr w:rsidR="00C04624" w:rsidRPr="00674D04" w14:paraId="34FB2B98" w14:textId="77777777" w:rsidTr="00C04624">
        <w:trPr>
          <w:trHeight w:val="253"/>
        </w:trPr>
        <w:tc>
          <w:tcPr>
            <w:tcW w:w="2410" w:type="dxa"/>
            <w:vAlign w:val="bottom"/>
          </w:tcPr>
          <w:p w14:paraId="3AD19861" w14:textId="77777777" w:rsidR="00C04624" w:rsidRPr="00D47571" w:rsidRDefault="00C04624" w:rsidP="00C04624">
            <w:pPr>
              <w:tabs>
                <w:tab w:val="left" w:leader="underscore" w:pos="9639"/>
              </w:tabs>
              <w:spacing w:after="120"/>
              <w:ind w:left="179" w:hanging="179"/>
              <w:rPr>
                <w:sz w:val="16"/>
                <w:szCs w:val="16"/>
              </w:rPr>
            </w:pPr>
            <w:r>
              <w:rPr>
                <w:color w:val="000000"/>
                <w:sz w:val="16"/>
                <w:szCs w:val="16"/>
              </w:rPr>
              <w:t>Ingresos Federales</w:t>
            </w:r>
          </w:p>
        </w:tc>
        <w:tc>
          <w:tcPr>
            <w:tcW w:w="1474" w:type="dxa"/>
            <w:vAlign w:val="bottom"/>
          </w:tcPr>
          <w:p w14:paraId="15CF8700" w14:textId="584125FA" w:rsidR="00C04624" w:rsidRPr="00C04624"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2,504,277,211</w:t>
            </w:r>
          </w:p>
        </w:tc>
        <w:tc>
          <w:tcPr>
            <w:tcW w:w="1332" w:type="dxa"/>
            <w:vAlign w:val="bottom"/>
          </w:tcPr>
          <w:p w14:paraId="557AC299" w14:textId="76AF74EE" w:rsidR="00C04624" w:rsidRPr="00C04624"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2,604,448,300</w:t>
            </w:r>
          </w:p>
        </w:tc>
        <w:tc>
          <w:tcPr>
            <w:tcW w:w="1333" w:type="dxa"/>
            <w:vAlign w:val="bottom"/>
          </w:tcPr>
          <w:p w14:paraId="618838E1" w14:textId="769362D0" w:rsidR="00C04624" w:rsidRPr="00C04624"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2,708,626,232</w:t>
            </w:r>
          </w:p>
        </w:tc>
        <w:tc>
          <w:tcPr>
            <w:tcW w:w="1332" w:type="dxa"/>
            <w:vAlign w:val="bottom"/>
          </w:tcPr>
          <w:p w14:paraId="41FAECA6" w14:textId="0F6D64BE" w:rsidR="00C04624" w:rsidRPr="00C04624"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2,816,971,281</w:t>
            </w:r>
          </w:p>
        </w:tc>
        <w:tc>
          <w:tcPr>
            <w:tcW w:w="1333" w:type="dxa"/>
            <w:vAlign w:val="bottom"/>
          </w:tcPr>
          <w:p w14:paraId="52557F22" w14:textId="14D277F4" w:rsidR="00C04624" w:rsidRPr="00C04624"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2,929,650,132</w:t>
            </w:r>
          </w:p>
        </w:tc>
      </w:tr>
      <w:tr w:rsidR="00C04624" w:rsidRPr="00D47571" w14:paraId="4AE4E14E" w14:textId="77777777" w:rsidTr="00FB245A">
        <w:trPr>
          <w:trHeight w:val="20"/>
        </w:trPr>
        <w:tc>
          <w:tcPr>
            <w:tcW w:w="2410" w:type="dxa"/>
          </w:tcPr>
          <w:p w14:paraId="22C443CE" w14:textId="77777777" w:rsidR="00C04624" w:rsidRPr="00D47571" w:rsidRDefault="00C04624" w:rsidP="00C04624">
            <w:pPr>
              <w:tabs>
                <w:tab w:val="left" w:leader="underscore" w:pos="9639"/>
              </w:tabs>
              <w:spacing w:after="120"/>
              <w:rPr>
                <w:sz w:val="16"/>
                <w:szCs w:val="16"/>
              </w:rPr>
            </w:pPr>
          </w:p>
        </w:tc>
        <w:tc>
          <w:tcPr>
            <w:tcW w:w="1474" w:type="dxa"/>
            <w:vAlign w:val="bottom"/>
          </w:tcPr>
          <w:p w14:paraId="5E6A0AA7" w14:textId="53820D08" w:rsidR="00C04624" w:rsidRPr="00C04624" w:rsidRDefault="00C04624" w:rsidP="00C04624">
            <w:pPr>
              <w:tabs>
                <w:tab w:val="left" w:pos="36"/>
                <w:tab w:val="decimal" w:pos="1170"/>
              </w:tabs>
              <w:spacing w:after="120"/>
              <w:ind w:left="36" w:right="37"/>
              <w:jc w:val="right"/>
              <w:rPr>
                <w:color w:val="000000"/>
                <w:sz w:val="16"/>
                <w:szCs w:val="16"/>
              </w:rPr>
            </w:pPr>
            <w:r w:rsidRPr="00C04624">
              <w:rPr>
                <w:color w:val="000000"/>
                <w:sz w:val="16"/>
                <w:szCs w:val="16"/>
              </w:rPr>
              <w:t>4,506,693,626</w:t>
            </w:r>
          </w:p>
        </w:tc>
        <w:tc>
          <w:tcPr>
            <w:tcW w:w="1332" w:type="dxa"/>
            <w:vAlign w:val="bottom"/>
          </w:tcPr>
          <w:p w14:paraId="25279A30" w14:textId="4C9E839C" w:rsidR="00C04624" w:rsidRPr="00C04624" w:rsidRDefault="00C04624" w:rsidP="00C04624">
            <w:pPr>
              <w:tabs>
                <w:tab w:val="left" w:pos="0"/>
                <w:tab w:val="decimal" w:pos="1114"/>
                <w:tab w:val="left" w:leader="underscore" w:pos="9639"/>
              </w:tabs>
              <w:spacing w:after="120"/>
              <w:jc w:val="right"/>
              <w:rPr>
                <w:color w:val="000000"/>
                <w:sz w:val="16"/>
                <w:szCs w:val="16"/>
              </w:rPr>
            </w:pPr>
            <w:r w:rsidRPr="00C04624">
              <w:rPr>
                <w:color w:val="000000"/>
                <w:sz w:val="16"/>
                <w:szCs w:val="16"/>
              </w:rPr>
              <w:t>4,686,961,371</w:t>
            </w:r>
          </w:p>
        </w:tc>
        <w:tc>
          <w:tcPr>
            <w:tcW w:w="1333" w:type="dxa"/>
            <w:vAlign w:val="bottom"/>
          </w:tcPr>
          <w:p w14:paraId="7B52DE07" w14:textId="45A98DE6" w:rsidR="00C04624" w:rsidRPr="00C04624" w:rsidRDefault="00C04624" w:rsidP="00C04624">
            <w:pPr>
              <w:tabs>
                <w:tab w:val="left" w:pos="0"/>
                <w:tab w:val="decimal" w:pos="1114"/>
                <w:tab w:val="left" w:leader="underscore" w:pos="9639"/>
              </w:tabs>
              <w:spacing w:after="120"/>
              <w:jc w:val="right"/>
              <w:rPr>
                <w:color w:val="000000"/>
                <w:sz w:val="16"/>
                <w:szCs w:val="16"/>
              </w:rPr>
            </w:pPr>
            <w:r w:rsidRPr="00C04624">
              <w:rPr>
                <w:color w:val="000000"/>
                <w:sz w:val="16"/>
                <w:szCs w:val="16"/>
              </w:rPr>
              <w:t>4,874,439,826</w:t>
            </w:r>
          </w:p>
        </w:tc>
        <w:tc>
          <w:tcPr>
            <w:tcW w:w="1332" w:type="dxa"/>
            <w:vAlign w:val="bottom"/>
          </w:tcPr>
          <w:p w14:paraId="351CB465" w14:textId="120427F4" w:rsidR="00C04624" w:rsidRPr="00C04624" w:rsidRDefault="00C04624" w:rsidP="00C04624">
            <w:pPr>
              <w:tabs>
                <w:tab w:val="left" w:pos="0"/>
                <w:tab w:val="decimal" w:pos="1114"/>
                <w:tab w:val="left" w:leader="underscore" w:pos="9639"/>
              </w:tabs>
              <w:spacing w:after="120"/>
              <w:jc w:val="right"/>
              <w:rPr>
                <w:color w:val="000000"/>
                <w:sz w:val="16"/>
                <w:szCs w:val="16"/>
              </w:rPr>
            </w:pPr>
            <w:r w:rsidRPr="00C04624">
              <w:rPr>
                <w:color w:val="000000"/>
                <w:sz w:val="16"/>
                <w:szCs w:val="16"/>
              </w:rPr>
              <w:t>5,069,417,419</w:t>
            </w:r>
          </w:p>
        </w:tc>
        <w:tc>
          <w:tcPr>
            <w:tcW w:w="1333" w:type="dxa"/>
            <w:vAlign w:val="bottom"/>
          </w:tcPr>
          <w:p w14:paraId="2941584A" w14:textId="1E8C3C00" w:rsidR="00C04624" w:rsidRPr="00C04624" w:rsidRDefault="00C04624" w:rsidP="00C04624">
            <w:pPr>
              <w:tabs>
                <w:tab w:val="left" w:pos="0"/>
                <w:tab w:val="decimal" w:pos="1114"/>
                <w:tab w:val="left" w:leader="underscore" w:pos="9639"/>
              </w:tabs>
              <w:spacing w:after="120"/>
              <w:jc w:val="right"/>
              <w:rPr>
                <w:color w:val="000000"/>
                <w:sz w:val="16"/>
                <w:szCs w:val="16"/>
              </w:rPr>
            </w:pPr>
            <w:r w:rsidRPr="00C04624">
              <w:rPr>
                <w:color w:val="000000"/>
                <w:sz w:val="16"/>
                <w:szCs w:val="16"/>
              </w:rPr>
              <w:t>5,272,194,116</w:t>
            </w:r>
          </w:p>
        </w:tc>
      </w:tr>
    </w:tbl>
    <w:p w14:paraId="26FDB1A9" w14:textId="0D6BCFD7" w:rsidR="00FB245A" w:rsidRDefault="00FB245A" w:rsidP="00CB41C4">
      <w:pPr>
        <w:tabs>
          <w:tab w:val="left" w:leader="underscore" w:pos="9639"/>
        </w:tabs>
        <w:spacing w:after="0" w:line="240" w:lineRule="auto"/>
        <w:jc w:val="both"/>
        <w:rPr>
          <w:rFonts w:cs="Calibri"/>
        </w:rPr>
      </w:pPr>
    </w:p>
    <w:p w14:paraId="7C112492" w14:textId="77777777" w:rsidR="00FB245A" w:rsidRDefault="00FB245A">
      <w:pPr>
        <w:spacing w:after="0" w:line="240" w:lineRule="auto"/>
        <w:rPr>
          <w:rFonts w:cs="Calibri"/>
        </w:rPr>
      </w:pPr>
      <w:r>
        <w:rPr>
          <w:rFonts w:cs="Calibri"/>
        </w:rPr>
        <w:br w:type="page"/>
      </w:r>
    </w:p>
    <w:p w14:paraId="4754707A" w14:textId="77777777" w:rsidR="00231FBE" w:rsidRDefault="00231FBE" w:rsidP="00CB41C4">
      <w:pPr>
        <w:tabs>
          <w:tab w:val="left" w:leader="underscore" w:pos="9639"/>
        </w:tabs>
        <w:spacing w:after="0" w:line="240" w:lineRule="auto"/>
        <w:jc w:val="both"/>
        <w:rPr>
          <w:rFonts w:cs="Calibri"/>
        </w:rPr>
      </w:pPr>
    </w:p>
    <w:p w14:paraId="4E1A02F2" w14:textId="31BF2238" w:rsidR="00B27F13" w:rsidRDefault="00B27F13" w:rsidP="00CB41C4">
      <w:pPr>
        <w:tabs>
          <w:tab w:val="left" w:leader="underscore" w:pos="9639"/>
        </w:tabs>
        <w:spacing w:after="0" w:line="240" w:lineRule="auto"/>
        <w:jc w:val="both"/>
        <w:rPr>
          <w:rFonts w:cs="Calibri"/>
        </w:rPr>
      </w:pPr>
    </w:p>
    <w:p w14:paraId="0C90806F" w14:textId="723C5A47" w:rsidR="00B27F13" w:rsidRDefault="00B27F13">
      <w:pPr>
        <w:spacing w:after="0" w:line="240" w:lineRule="auto"/>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3"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3"/>
    </w:p>
    <w:p w14:paraId="27337031" w14:textId="77777777" w:rsidR="007D1E76" w:rsidRPr="00E74967" w:rsidRDefault="007D1E76" w:rsidP="00CB41C4">
      <w:pPr>
        <w:tabs>
          <w:tab w:val="left" w:leader="underscore" w:pos="9639"/>
        </w:tabs>
        <w:spacing w:after="0" w:line="240" w:lineRule="auto"/>
        <w:jc w:val="both"/>
        <w:rPr>
          <w:rFonts w:cs="Calibri"/>
        </w:rPr>
      </w:pPr>
    </w:p>
    <w:p w14:paraId="52D27A57"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6E2B82">
        <w:rPr>
          <w:rFonts w:cs="Calibri"/>
        </w:rPr>
        <w:t xml:space="preserve">: </w:t>
      </w:r>
      <w:r w:rsidR="006E2B82">
        <w:rPr>
          <w:rFonts w:ascii="Trebuchet MS" w:hAnsi="Trebuchet MS"/>
          <w:sz w:val="20"/>
          <w:szCs w:val="20"/>
        </w:rPr>
        <w:t>No aplica, debido a que la Universidad no tiene contratada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78055F1D"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r w:rsidR="006E2B82">
        <w:rPr>
          <w:rFonts w:cs="Calibri"/>
        </w:rPr>
        <w:t xml:space="preserve">: </w:t>
      </w:r>
      <w:r w:rsidR="006E2B82">
        <w:rPr>
          <w:rFonts w:ascii="Trebuchet MS" w:hAnsi="Trebuchet MS"/>
          <w:sz w:val="20"/>
          <w:szCs w:val="20"/>
        </w:rPr>
        <w:t>No aplica, debido a que la Universidad no tiene contratada deuda</w:t>
      </w:r>
    </w:p>
    <w:p w14:paraId="011EDA65" w14:textId="77777777" w:rsidR="006E2B82" w:rsidRPr="00E74967" w:rsidRDefault="006E2B82" w:rsidP="006E2B82">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4"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4"/>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E99B99D" w14:textId="77777777" w:rsidR="006E2B82" w:rsidRPr="00D24EBC" w:rsidRDefault="006E2B82" w:rsidP="006E2B82">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10B4C763" w14:textId="7FFDB478" w:rsidR="007D1E76" w:rsidRPr="000C3365" w:rsidRDefault="007D1E76" w:rsidP="000C3365">
      <w:pPr>
        <w:pStyle w:val="Ttulo2"/>
        <w:rPr>
          <w:rFonts w:asciiTheme="minorHAnsi" w:hAnsiTheme="minorHAnsi" w:cstheme="minorHAnsi"/>
          <w:b/>
          <w:color w:val="auto"/>
          <w:sz w:val="22"/>
        </w:rPr>
      </w:pPr>
      <w:bookmarkStart w:id="15"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5"/>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D64C1AD" w14:textId="77777777" w:rsidR="002C7D8C" w:rsidRPr="00E74967" w:rsidRDefault="002C7D8C" w:rsidP="00CB41C4">
      <w:pPr>
        <w:tabs>
          <w:tab w:val="left" w:leader="underscore" w:pos="9639"/>
        </w:tabs>
        <w:spacing w:after="0" w:line="240" w:lineRule="auto"/>
        <w:jc w:val="both"/>
        <w:rPr>
          <w:rFonts w:cs="Calibri"/>
        </w:rPr>
      </w:pPr>
    </w:p>
    <w:p w14:paraId="00929F9A" w14:textId="27093D58" w:rsidR="006E2B82" w:rsidRDefault="006E2B82" w:rsidP="006E2B82">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sidR="00C04624">
        <w:rPr>
          <w:rFonts w:ascii="Trebuchet MS" w:hAnsi="Trebuchet MS"/>
          <w:sz w:val="20"/>
          <w:szCs w:val="20"/>
        </w:rPr>
        <w:t>6</w:t>
      </w:r>
      <w:r w:rsidRPr="000D4817">
        <w:rPr>
          <w:rFonts w:ascii="Trebuchet MS" w:hAnsi="Trebuchet MS"/>
          <w:sz w:val="20"/>
          <w:szCs w:val="20"/>
        </w:rPr>
        <w:t>”</w:t>
      </w:r>
    </w:p>
    <w:p w14:paraId="59CFF4B2" w14:textId="4EC54270" w:rsidR="007D1E76" w:rsidRPr="00E74967" w:rsidRDefault="007D1E76" w:rsidP="006E2B82">
      <w:pPr>
        <w:jc w:val="both"/>
        <w:rPr>
          <w:rFonts w:cs="Calibri"/>
        </w:rPr>
      </w:pPr>
      <w:r w:rsidRPr="00E74967">
        <w:rPr>
          <w:rFonts w:cs="Calibri"/>
          <w:b/>
        </w:rPr>
        <w:t>b)</w:t>
      </w:r>
      <w:r w:rsidRPr="00E74967">
        <w:rPr>
          <w:rFonts w:cs="Calibri"/>
        </w:rPr>
        <w:t xml:space="preserve"> Medidas de desempeño financiero, metas y alcance:</w:t>
      </w:r>
    </w:p>
    <w:p w14:paraId="1B811364" w14:textId="77777777" w:rsidR="006E2B82" w:rsidRPr="00D24EBC" w:rsidRDefault="006E2B82" w:rsidP="006E2B82">
      <w:pPr>
        <w:jc w:val="both"/>
        <w:rPr>
          <w:rFonts w:ascii="Trebuchet MS" w:hAnsi="Trebuchet MS" w:cs="Arial"/>
          <w:sz w:val="20"/>
          <w:szCs w:val="20"/>
        </w:rPr>
      </w:pPr>
      <w:r w:rsidRPr="009A70CB">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6"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6"/>
    </w:p>
    <w:p w14:paraId="3752A23E" w14:textId="1EDBBC06" w:rsidR="006E2B82" w:rsidRPr="00E74967" w:rsidRDefault="006E2B82" w:rsidP="006E2B82">
      <w:pPr>
        <w:tabs>
          <w:tab w:val="left" w:leader="underscore" w:pos="9639"/>
        </w:tabs>
        <w:spacing w:after="0" w:line="240" w:lineRule="auto"/>
        <w:jc w:val="both"/>
        <w:rPr>
          <w:rFonts w:cs="Calibri"/>
        </w:rPr>
      </w:pPr>
      <w:r>
        <w:rPr>
          <w:rFonts w:cs="Calibri"/>
        </w:rPr>
        <w:t>No aplica, debido a que la Universidad presta preponderantemente servicios educativos</w:t>
      </w:r>
      <w:r w:rsidR="006A3138">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Default="007D1E76" w:rsidP="000C3365">
      <w:pPr>
        <w:pStyle w:val="Ttulo2"/>
        <w:rPr>
          <w:rFonts w:asciiTheme="minorHAnsi" w:hAnsiTheme="minorHAnsi" w:cstheme="minorHAnsi"/>
          <w:b/>
          <w:color w:val="auto"/>
          <w:sz w:val="22"/>
        </w:rPr>
      </w:pPr>
      <w:bookmarkStart w:id="17"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7"/>
    </w:p>
    <w:p w14:paraId="55D08D4D" w14:textId="646859ED" w:rsidR="00B27F13" w:rsidRDefault="00B27F13" w:rsidP="00CB41C4">
      <w:pPr>
        <w:tabs>
          <w:tab w:val="left" w:leader="underscore" w:pos="9639"/>
        </w:tabs>
        <w:spacing w:after="0" w:line="240" w:lineRule="auto"/>
        <w:jc w:val="both"/>
        <w:rPr>
          <w:rFonts w:cs="Calibri"/>
        </w:rPr>
      </w:pPr>
    </w:p>
    <w:p w14:paraId="42FFC567" w14:textId="477E37B5" w:rsidR="0089172B" w:rsidRPr="0089172B" w:rsidRDefault="0089172B" w:rsidP="006A3138">
      <w:pPr>
        <w:spacing w:after="0" w:line="240" w:lineRule="auto"/>
        <w:jc w:val="both"/>
        <w:rPr>
          <w:rFonts w:cs="Calibri"/>
        </w:rPr>
      </w:pPr>
      <w:r w:rsidRPr="0089172B">
        <w:rPr>
          <w:rFonts w:cs="Calibri"/>
        </w:rPr>
        <w:t xml:space="preserve">La Universidad de Guanajuato tiene en proceso </w:t>
      </w:r>
      <w:r w:rsidR="00266EFD">
        <w:rPr>
          <w:rFonts w:cs="Calibri"/>
        </w:rPr>
        <w:t>2</w:t>
      </w:r>
      <w:r w:rsidR="009D1E96">
        <w:rPr>
          <w:rFonts w:cs="Calibri"/>
        </w:rPr>
        <w:t>1</w:t>
      </w:r>
      <w:r w:rsidR="00C04624">
        <w:rPr>
          <w:rFonts w:cs="Calibri"/>
        </w:rPr>
        <w:t>5</w:t>
      </w:r>
      <w:r w:rsidRPr="0089172B">
        <w:rPr>
          <w:rFonts w:cs="Calibri"/>
        </w:rPr>
        <w:t xml:space="preserve"> juicios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6944E4D2" w14:textId="77777777" w:rsidR="0089172B" w:rsidRPr="0089172B" w:rsidRDefault="0089172B" w:rsidP="006A3138">
      <w:pPr>
        <w:spacing w:after="0" w:line="240" w:lineRule="auto"/>
        <w:jc w:val="both"/>
        <w:rPr>
          <w:rFonts w:cs="Calibri"/>
        </w:rPr>
      </w:pPr>
    </w:p>
    <w:p w14:paraId="124ECAC4" w14:textId="77777777" w:rsidR="00B27F13" w:rsidRDefault="00B27F13">
      <w:pPr>
        <w:spacing w:after="0" w:line="240" w:lineRule="auto"/>
        <w:rPr>
          <w:rFonts w:cs="Calibri"/>
        </w:rPr>
      </w:pPr>
      <w:r>
        <w:rPr>
          <w:rFonts w:cs="Calibri"/>
        </w:rPr>
        <w:br w:type="page"/>
      </w:r>
    </w:p>
    <w:p w14:paraId="12E2913B" w14:textId="77777777" w:rsidR="0089172B" w:rsidRDefault="0089172B">
      <w:pPr>
        <w:spacing w:after="0" w:line="240" w:lineRule="auto"/>
        <w:rPr>
          <w:rFonts w:cs="Calibri"/>
        </w:rPr>
      </w:pPr>
    </w:p>
    <w:tbl>
      <w:tblPr>
        <w:tblW w:w="10969" w:type="dxa"/>
        <w:tblInd w:w="-577" w:type="dxa"/>
        <w:tblCellMar>
          <w:left w:w="70" w:type="dxa"/>
          <w:right w:w="70" w:type="dxa"/>
        </w:tblCellMar>
        <w:tblLook w:val="04A0" w:firstRow="1" w:lastRow="0" w:firstColumn="1" w:lastColumn="0" w:noHBand="0" w:noVBand="1"/>
      </w:tblPr>
      <w:tblGrid>
        <w:gridCol w:w="1235"/>
        <w:gridCol w:w="1903"/>
        <w:gridCol w:w="1530"/>
        <w:gridCol w:w="1268"/>
        <w:gridCol w:w="2576"/>
        <w:gridCol w:w="1413"/>
        <w:gridCol w:w="1044"/>
      </w:tblGrid>
      <w:tr w:rsidR="0089172B" w:rsidRPr="0089172B" w14:paraId="37811749" w14:textId="77777777" w:rsidTr="0089172B">
        <w:trPr>
          <w:trHeight w:val="525"/>
          <w:tblHeader/>
        </w:trPr>
        <w:tc>
          <w:tcPr>
            <w:tcW w:w="1235" w:type="dxa"/>
            <w:tcBorders>
              <w:top w:val="single" w:sz="4" w:space="0" w:color="auto"/>
              <w:left w:val="single" w:sz="8" w:space="0" w:color="auto"/>
              <w:bottom w:val="single" w:sz="4" w:space="0" w:color="auto"/>
              <w:right w:val="single" w:sz="4" w:space="0" w:color="auto"/>
            </w:tcBorders>
            <w:vAlign w:val="center"/>
            <w:hideMark/>
          </w:tcPr>
          <w:p w14:paraId="440B773A" w14:textId="77777777" w:rsidR="0089172B" w:rsidRPr="0089172B" w:rsidRDefault="0089172B" w:rsidP="0089172B">
            <w:pPr>
              <w:spacing w:after="0" w:line="240" w:lineRule="auto"/>
              <w:rPr>
                <w:rFonts w:cs="Calibri"/>
                <w:b/>
                <w:bCs/>
              </w:rPr>
            </w:pPr>
            <w:r w:rsidRPr="0089172B">
              <w:rPr>
                <w:rFonts w:cs="Calibri"/>
                <w:b/>
                <w:bCs/>
              </w:rPr>
              <w:t>Número de</w:t>
            </w:r>
          </w:p>
          <w:p w14:paraId="06E9BE58" w14:textId="77777777" w:rsidR="0089172B" w:rsidRPr="0089172B" w:rsidRDefault="0089172B" w:rsidP="0089172B">
            <w:pPr>
              <w:spacing w:after="0" w:line="240" w:lineRule="auto"/>
              <w:rPr>
                <w:rFonts w:cs="Calibri"/>
                <w:b/>
                <w:bCs/>
              </w:rPr>
            </w:pPr>
            <w:r w:rsidRPr="0089172B">
              <w:rPr>
                <w:rFonts w:cs="Calibri"/>
                <w:b/>
                <w:bCs/>
              </w:rPr>
              <w:t>Expediente</w:t>
            </w:r>
          </w:p>
        </w:tc>
        <w:tc>
          <w:tcPr>
            <w:tcW w:w="1903" w:type="dxa"/>
            <w:tcBorders>
              <w:top w:val="single" w:sz="4" w:space="0" w:color="auto"/>
              <w:left w:val="nil"/>
              <w:bottom w:val="single" w:sz="4" w:space="0" w:color="auto"/>
              <w:right w:val="single" w:sz="4" w:space="0" w:color="auto"/>
            </w:tcBorders>
            <w:vAlign w:val="bottom"/>
            <w:hideMark/>
          </w:tcPr>
          <w:p w14:paraId="5037FA61" w14:textId="77777777" w:rsidR="0089172B" w:rsidRPr="0089172B" w:rsidRDefault="0089172B" w:rsidP="0089172B">
            <w:pPr>
              <w:spacing w:after="0" w:line="240" w:lineRule="auto"/>
              <w:rPr>
                <w:rFonts w:cs="Calibri"/>
                <w:b/>
                <w:bCs/>
              </w:rPr>
            </w:pPr>
            <w:r w:rsidRPr="0089172B">
              <w:rPr>
                <w:rFonts w:cs="Calibri"/>
                <w:b/>
                <w:bCs/>
              </w:rPr>
              <w:t>Tipo de Juicio</w:t>
            </w:r>
          </w:p>
        </w:tc>
        <w:tc>
          <w:tcPr>
            <w:tcW w:w="1530" w:type="dxa"/>
            <w:tcBorders>
              <w:top w:val="single" w:sz="4" w:space="0" w:color="auto"/>
              <w:left w:val="nil"/>
              <w:bottom w:val="single" w:sz="4" w:space="0" w:color="auto"/>
              <w:right w:val="single" w:sz="4" w:space="0" w:color="auto"/>
            </w:tcBorders>
            <w:vAlign w:val="bottom"/>
            <w:hideMark/>
          </w:tcPr>
          <w:p w14:paraId="0E8D2EDD" w14:textId="77777777" w:rsidR="0089172B" w:rsidRPr="0089172B" w:rsidRDefault="0089172B" w:rsidP="0089172B">
            <w:pPr>
              <w:spacing w:after="0" w:line="240" w:lineRule="auto"/>
              <w:rPr>
                <w:rFonts w:cs="Calibri"/>
                <w:b/>
                <w:bCs/>
              </w:rPr>
            </w:pPr>
            <w:r w:rsidRPr="0089172B">
              <w:rPr>
                <w:rFonts w:cs="Calibri"/>
                <w:b/>
                <w:bCs/>
              </w:rPr>
              <w:t xml:space="preserve">Tipo de Acción </w:t>
            </w:r>
          </w:p>
        </w:tc>
        <w:tc>
          <w:tcPr>
            <w:tcW w:w="1268" w:type="dxa"/>
            <w:tcBorders>
              <w:top w:val="single" w:sz="4" w:space="0" w:color="auto"/>
              <w:left w:val="nil"/>
              <w:bottom w:val="single" w:sz="4" w:space="0" w:color="auto"/>
              <w:right w:val="single" w:sz="4" w:space="0" w:color="auto"/>
            </w:tcBorders>
            <w:vAlign w:val="bottom"/>
            <w:hideMark/>
          </w:tcPr>
          <w:p w14:paraId="594B7CAC" w14:textId="77777777" w:rsidR="0089172B" w:rsidRPr="0089172B" w:rsidRDefault="0089172B" w:rsidP="0089172B">
            <w:pPr>
              <w:spacing w:after="0" w:line="240" w:lineRule="auto"/>
              <w:rPr>
                <w:rFonts w:cs="Calibri"/>
                <w:b/>
                <w:bCs/>
              </w:rPr>
            </w:pPr>
            <w:r w:rsidRPr="0089172B">
              <w:rPr>
                <w:rFonts w:cs="Calibri"/>
                <w:b/>
                <w:bCs/>
              </w:rPr>
              <w:t>Partes que Intervienen</w:t>
            </w:r>
          </w:p>
        </w:tc>
        <w:tc>
          <w:tcPr>
            <w:tcW w:w="2576" w:type="dxa"/>
            <w:tcBorders>
              <w:top w:val="single" w:sz="4" w:space="0" w:color="auto"/>
              <w:left w:val="nil"/>
              <w:bottom w:val="single" w:sz="4" w:space="0" w:color="auto"/>
              <w:right w:val="single" w:sz="4" w:space="0" w:color="auto"/>
            </w:tcBorders>
            <w:vAlign w:val="bottom"/>
            <w:hideMark/>
          </w:tcPr>
          <w:p w14:paraId="3FFAA8A7" w14:textId="77777777" w:rsidR="0089172B" w:rsidRPr="0089172B" w:rsidRDefault="0089172B" w:rsidP="0089172B">
            <w:pPr>
              <w:spacing w:after="0" w:line="240" w:lineRule="auto"/>
              <w:rPr>
                <w:rFonts w:cs="Calibri"/>
                <w:b/>
                <w:bCs/>
              </w:rPr>
            </w:pPr>
            <w:r w:rsidRPr="0089172B">
              <w:rPr>
                <w:rFonts w:cs="Calibri"/>
                <w:b/>
                <w:bCs/>
              </w:rPr>
              <w:t>Estatus del juicio</w:t>
            </w:r>
          </w:p>
        </w:tc>
        <w:tc>
          <w:tcPr>
            <w:tcW w:w="1413" w:type="dxa"/>
            <w:tcBorders>
              <w:top w:val="single" w:sz="4" w:space="0" w:color="auto"/>
              <w:left w:val="nil"/>
              <w:bottom w:val="single" w:sz="4" w:space="0" w:color="auto"/>
              <w:right w:val="single" w:sz="4" w:space="0" w:color="auto"/>
            </w:tcBorders>
            <w:vAlign w:val="bottom"/>
            <w:hideMark/>
          </w:tcPr>
          <w:p w14:paraId="0E24E42A" w14:textId="77777777" w:rsidR="0089172B" w:rsidRPr="0089172B" w:rsidRDefault="0089172B" w:rsidP="0089172B">
            <w:pPr>
              <w:spacing w:after="0" w:line="240" w:lineRule="auto"/>
              <w:rPr>
                <w:rFonts w:cs="Calibri"/>
                <w:b/>
                <w:bCs/>
              </w:rPr>
            </w:pPr>
            <w:r w:rsidRPr="0089172B">
              <w:rPr>
                <w:rFonts w:cs="Calibri"/>
                <w:b/>
                <w:bCs/>
              </w:rPr>
              <w:t>Partido Judicial</w:t>
            </w:r>
          </w:p>
        </w:tc>
        <w:tc>
          <w:tcPr>
            <w:tcW w:w="1044" w:type="dxa"/>
            <w:tcBorders>
              <w:top w:val="single" w:sz="4" w:space="0" w:color="auto"/>
              <w:left w:val="nil"/>
              <w:bottom w:val="single" w:sz="4" w:space="0" w:color="auto"/>
              <w:right w:val="single" w:sz="8" w:space="0" w:color="auto"/>
            </w:tcBorders>
            <w:vAlign w:val="bottom"/>
            <w:hideMark/>
          </w:tcPr>
          <w:p w14:paraId="3851DC66" w14:textId="77777777" w:rsidR="0089172B" w:rsidRPr="0089172B" w:rsidRDefault="0089172B" w:rsidP="0089172B">
            <w:pPr>
              <w:spacing w:after="0" w:line="240" w:lineRule="auto"/>
              <w:rPr>
                <w:rFonts w:cs="Calibri"/>
                <w:b/>
                <w:bCs/>
              </w:rPr>
            </w:pPr>
            <w:r w:rsidRPr="0089172B">
              <w:rPr>
                <w:rFonts w:cs="Calibri"/>
                <w:b/>
                <w:bCs/>
              </w:rPr>
              <w:t>Juzgado</w:t>
            </w:r>
          </w:p>
        </w:tc>
      </w:tr>
      <w:tr w:rsidR="009D1E96" w:rsidRPr="0089172B" w14:paraId="146E26B6"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E672A60" w14:textId="0218C4B2" w:rsidR="009D1E96" w:rsidRPr="009D1E96" w:rsidRDefault="00C04624" w:rsidP="009D1E96">
            <w:pPr>
              <w:pStyle w:val="Default"/>
              <w:rPr>
                <w:sz w:val="22"/>
                <w:szCs w:val="22"/>
              </w:rPr>
            </w:pPr>
            <w:r w:rsidRPr="00C04624">
              <w:rPr>
                <w:sz w:val="22"/>
                <w:szCs w:val="22"/>
              </w:rPr>
              <w:t>1277/2005</w:t>
            </w:r>
          </w:p>
        </w:tc>
        <w:tc>
          <w:tcPr>
            <w:tcW w:w="1903" w:type="dxa"/>
            <w:tcBorders>
              <w:top w:val="nil"/>
              <w:left w:val="nil"/>
              <w:bottom w:val="single" w:sz="4" w:space="0" w:color="auto"/>
              <w:right w:val="single" w:sz="4" w:space="0" w:color="auto"/>
            </w:tcBorders>
            <w:vAlign w:val="center"/>
            <w:hideMark/>
          </w:tcPr>
          <w:p w14:paraId="06D1A36F" w14:textId="0B3E8A67" w:rsidR="009D1E96" w:rsidRPr="009D1E96" w:rsidRDefault="009D1E96" w:rsidP="009D1E96">
            <w:pPr>
              <w:spacing w:after="0" w:line="240" w:lineRule="auto"/>
              <w:rPr>
                <w:rFonts w:ascii="Arial" w:hAnsi="Arial" w:cs="Arial"/>
              </w:rPr>
            </w:pPr>
            <w:r w:rsidRPr="009D1E96">
              <w:rPr>
                <w:rFonts w:ascii="Arial" w:hAnsi="Arial" w:cs="Arial"/>
              </w:rPr>
              <w:t xml:space="preserve">Sucesorio </w:t>
            </w:r>
            <w:proofErr w:type="spellStart"/>
            <w:r w:rsidRPr="009D1E96">
              <w:rPr>
                <w:rFonts w:ascii="Arial" w:hAnsi="Arial" w:cs="Arial"/>
              </w:rPr>
              <w:t>Intestamentario</w:t>
            </w:r>
            <w:proofErr w:type="spellEnd"/>
          </w:p>
        </w:tc>
        <w:tc>
          <w:tcPr>
            <w:tcW w:w="1530" w:type="dxa"/>
            <w:tcBorders>
              <w:top w:val="nil"/>
              <w:left w:val="nil"/>
              <w:bottom w:val="single" w:sz="4" w:space="0" w:color="auto"/>
              <w:right w:val="single" w:sz="4" w:space="0" w:color="auto"/>
            </w:tcBorders>
            <w:vAlign w:val="center"/>
            <w:hideMark/>
          </w:tcPr>
          <w:p w14:paraId="337784DC" w14:textId="5CC8AF3A" w:rsidR="009D1E96" w:rsidRPr="009D1E96" w:rsidRDefault="009D1E96" w:rsidP="009D1E96">
            <w:pPr>
              <w:spacing w:after="0" w:line="240" w:lineRule="auto"/>
              <w:rPr>
                <w:rFonts w:ascii="Arial" w:hAnsi="Arial" w:cs="Arial"/>
              </w:rPr>
            </w:pPr>
            <w:r w:rsidRPr="009D1E96">
              <w:rPr>
                <w:rFonts w:ascii="Arial" w:hAnsi="Arial" w:cs="Arial"/>
              </w:rPr>
              <w:t>Adjudicación de masa hereditaria</w:t>
            </w:r>
          </w:p>
        </w:tc>
        <w:tc>
          <w:tcPr>
            <w:tcW w:w="1268" w:type="dxa"/>
            <w:tcBorders>
              <w:top w:val="nil"/>
              <w:left w:val="nil"/>
              <w:bottom w:val="single" w:sz="4" w:space="0" w:color="auto"/>
              <w:right w:val="single" w:sz="4" w:space="0" w:color="auto"/>
            </w:tcBorders>
            <w:vAlign w:val="center"/>
          </w:tcPr>
          <w:p w14:paraId="0B30B3DB" w14:textId="01437387" w:rsidR="009D1E96" w:rsidRPr="009D1E96" w:rsidRDefault="009D1E96" w:rsidP="009D1E96">
            <w:pPr>
              <w:spacing w:after="0" w:line="240" w:lineRule="auto"/>
              <w:rPr>
                <w:rFonts w:ascii="Arial" w:hAnsi="Arial" w:cs="Arial"/>
              </w:rPr>
            </w:pPr>
            <w:r w:rsidRPr="009D1E96">
              <w:rPr>
                <w:rFonts w:ascii="Arial" w:hAnsi="Arial" w:cs="Arial"/>
                <w:color w:val="000000"/>
              </w:rPr>
              <w:t xml:space="preserve">A bienes de </w:t>
            </w:r>
            <w:r w:rsidR="00C04624" w:rsidRPr="00C04624">
              <w:rPr>
                <w:rFonts w:ascii="Arial" w:hAnsi="Arial" w:cs="Arial"/>
                <w:color w:val="000000"/>
              </w:rPr>
              <w:t>Dario Vega Calzada</w:t>
            </w:r>
          </w:p>
        </w:tc>
        <w:tc>
          <w:tcPr>
            <w:tcW w:w="2576" w:type="dxa"/>
            <w:tcBorders>
              <w:top w:val="nil"/>
              <w:left w:val="nil"/>
              <w:bottom w:val="single" w:sz="4" w:space="0" w:color="auto"/>
              <w:right w:val="single" w:sz="4" w:space="0" w:color="auto"/>
            </w:tcBorders>
            <w:vAlign w:val="center"/>
          </w:tcPr>
          <w:p w14:paraId="66709A6B" w14:textId="112794D8" w:rsidR="009D1E96" w:rsidRPr="009D1E96" w:rsidRDefault="009D1E96" w:rsidP="009D1E96">
            <w:pPr>
              <w:spacing w:after="0" w:line="240" w:lineRule="auto"/>
              <w:rPr>
                <w:rFonts w:ascii="Arial" w:hAnsi="Arial" w:cs="Arial"/>
              </w:rPr>
            </w:pPr>
            <w:r w:rsidRPr="009D1E96">
              <w:rPr>
                <w:rFonts w:ascii="Arial" w:hAnsi="Arial" w:cs="Arial"/>
                <w:color w:val="000000"/>
              </w:rPr>
              <w:t xml:space="preserve">Primera sección, en </w:t>
            </w:r>
            <w:r w:rsidR="00C04624">
              <w:rPr>
                <w:rFonts w:ascii="Arial" w:hAnsi="Arial" w:cs="Arial"/>
                <w:color w:val="000000"/>
              </w:rPr>
              <w:t>localización</w:t>
            </w:r>
            <w:r w:rsidRPr="009D1E96">
              <w:rPr>
                <w:rFonts w:ascii="Arial" w:hAnsi="Arial" w:cs="Arial"/>
                <w:color w:val="000000"/>
              </w:rPr>
              <w:t xml:space="preserve"> de bienes.</w:t>
            </w:r>
          </w:p>
        </w:tc>
        <w:tc>
          <w:tcPr>
            <w:tcW w:w="1413" w:type="dxa"/>
            <w:tcBorders>
              <w:top w:val="nil"/>
              <w:left w:val="nil"/>
              <w:bottom w:val="single" w:sz="4" w:space="0" w:color="auto"/>
              <w:right w:val="single" w:sz="4" w:space="0" w:color="auto"/>
            </w:tcBorders>
            <w:vAlign w:val="center"/>
          </w:tcPr>
          <w:p w14:paraId="08E0EE1D" w14:textId="135C94F0" w:rsidR="009D1E96" w:rsidRPr="009D1E96" w:rsidRDefault="00C04624" w:rsidP="009D1E96">
            <w:pPr>
              <w:spacing w:after="0" w:line="240" w:lineRule="auto"/>
              <w:rPr>
                <w:rFonts w:ascii="Arial" w:hAnsi="Arial" w:cs="Arial"/>
              </w:rPr>
            </w:pPr>
            <w:r>
              <w:rPr>
                <w:rFonts w:ascii="Arial" w:hAnsi="Arial" w:cs="Arial"/>
              </w:rPr>
              <w:t>Acámbaro</w:t>
            </w:r>
            <w:r w:rsidR="009D1E96" w:rsidRPr="009D1E96">
              <w:rPr>
                <w:rFonts w:ascii="Arial" w:hAnsi="Arial" w:cs="Arial"/>
              </w:rPr>
              <w:t>.</w:t>
            </w:r>
          </w:p>
        </w:tc>
        <w:tc>
          <w:tcPr>
            <w:tcW w:w="1044" w:type="dxa"/>
            <w:tcBorders>
              <w:top w:val="nil"/>
              <w:left w:val="nil"/>
              <w:bottom w:val="single" w:sz="4" w:space="0" w:color="auto"/>
              <w:right w:val="single" w:sz="8" w:space="0" w:color="auto"/>
            </w:tcBorders>
            <w:vAlign w:val="center"/>
          </w:tcPr>
          <w:p w14:paraId="381B8FF3" w14:textId="6A2C8A72" w:rsidR="009D1E96" w:rsidRPr="009D1E96" w:rsidRDefault="009D1E96" w:rsidP="009D1E96">
            <w:pPr>
              <w:spacing w:after="0" w:line="240" w:lineRule="auto"/>
              <w:rPr>
                <w:rFonts w:ascii="Arial" w:hAnsi="Arial" w:cs="Arial"/>
              </w:rPr>
            </w:pPr>
            <w:r w:rsidRPr="009D1E96">
              <w:rPr>
                <w:rFonts w:ascii="Arial" w:hAnsi="Arial" w:cs="Arial"/>
                <w:color w:val="000000"/>
              </w:rPr>
              <w:t xml:space="preserve">Juzgado </w:t>
            </w:r>
            <w:r>
              <w:rPr>
                <w:rFonts w:ascii="Arial" w:hAnsi="Arial" w:cs="Arial"/>
                <w:color w:val="000000"/>
              </w:rPr>
              <w:t>S</w:t>
            </w:r>
            <w:r w:rsidRPr="009D1E96">
              <w:rPr>
                <w:rFonts w:ascii="Arial" w:hAnsi="Arial" w:cs="Arial"/>
                <w:color w:val="000000"/>
              </w:rPr>
              <w:t>egundo Civil de Partido</w:t>
            </w:r>
          </w:p>
        </w:tc>
      </w:tr>
      <w:tr w:rsidR="009D1E96" w:rsidRPr="0089172B" w14:paraId="39D228A5"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60CFC7E4" w14:textId="616C42DE" w:rsidR="009D1E96" w:rsidRPr="009D1E96" w:rsidRDefault="009D1E96" w:rsidP="009D1E96">
            <w:pPr>
              <w:spacing w:after="0" w:line="240" w:lineRule="auto"/>
              <w:rPr>
                <w:rFonts w:ascii="Arial" w:hAnsi="Arial" w:cs="Arial"/>
              </w:rPr>
            </w:pPr>
            <w:r w:rsidRPr="009D1E96">
              <w:rPr>
                <w:rFonts w:ascii="Arial" w:hAnsi="Arial" w:cs="Arial"/>
              </w:rPr>
              <w:t>136/2025</w:t>
            </w:r>
          </w:p>
        </w:tc>
        <w:tc>
          <w:tcPr>
            <w:tcW w:w="1903" w:type="dxa"/>
            <w:tcBorders>
              <w:top w:val="nil"/>
              <w:left w:val="nil"/>
              <w:bottom w:val="single" w:sz="4" w:space="0" w:color="auto"/>
              <w:right w:val="single" w:sz="4" w:space="0" w:color="auto"/>
            </w:tcBorders>
            <w:vAlign w:val="center"/>
          </w:tcPr>
          <w:p w14:paraId="1E346360" w14:textId="777C7766" w:rsidR="009D1E96" w:rsidRPr="009D1E96" w:rsidRDefault="009D1E96" w:rsidP="009D1E96">
            <w:pPr>
              <w:spacing w:after="0" w:line="240" w:lineRule="auto"/>
              <w:rPr>
                <w:rFonts w:ascii="Arial" w:hAnsi="Arial" w:cs="Arial"/>
              </w:rPr>
            </w:pPr>
            <w:r w:rsidRPr="009D1E96">
              <w:rPr>
                <w:rFonts w:ascii="Arial" w:hAnsi="Arial" w:cs="Arial"/>
              </w:rPr>
              <w:t xml:space="preserve">Juicio Sucesorio </w:t>
            </w:r>
            <w:proofErr w:type="spellStart"/>
            <w:r w:rsidRPr="009D1E96">
              <w:rPr>
                <w:rFonts w:ascii="Arial" w:hAnsi="Arial" w:cs="Arial"/>
              </w:rPr>
              <w:t>Intestamentario</w:t>
            </w:r>
            <w:proofErr w:type="spellEnd"/>
          </w:p>
        </w:tc>
        <w:tc>
          <w:tcPr>
            <w:tcW w:w="1530" w:type="dxa"/>
            <w:tcBorders>
              <w:top w:val="nil"/>
              <w:left w:val="nil"/>
              <w:bottom w:val="single" w:sz="4" w:space="0" w:color="auto"/>
              <w:right w:val="single" w:sz="4" w:space="0" w:color="auto"/>
            </w:tcBorders>
            <w:vAlign w:val="center"/>
          </w:tcPr>
          <w:p w14:paraId="5AD522C7" w14:textId="7BB8EFAC" w:rsidR="009D1E96" w:rsidRPr="009D1E96" w:rsidRDefault="009D1E96" w:rsidP="009D1E96">
            <w:pPr>
              <w:spacing w:after="0" w:line="240" w:lineRule="auto"/>
              <w:rPr>
                <w:rFonts w:ascii="Arial" w:hAnsi="Arial" w:cs="Arial"/>
              </w:rPr>
            </w:pPr>
            <w:r w:rsidRPr="009D1E96">
              <w:rPr>
                <w:rFonts w:ascii="Arial" w:hAnsi="Arial" w:cs="Arial"/>
              </w:rPr>
              <w:t>Adjudicación de masa hereditaria</w:t>
            </w:r>
          </w:p>
        </w:tc>
        <w:tc>
          <w:tcPr>
            <w:tcW w:w="1268" w:type="dxa"/>
            <w:tcBorders>
              <w:top w:val="nil"/>
              <w:left w:val="nil"/>
              <w:bottom w:val="single" w:sz="4" w:space="0" w:color="auto"/>
              <w:right w:val="single" w:sz="4" w:space="0" w:color="auto"/>
            </w:tcBorders>
            <w:vAlign w:val="center"/>
          </w:tcPr>
          <w:p w14:paraId="3DA42261" w14:textId="225AA332" w:rsidR="009D1E96" w:rsidRPr="009D1E96" w:rsidRDefault="009D1E96" w:rsidP="009D1E96">
            <w:pPr>
              <w:spacing w:after="0" w:line="240" w:lineRule="auto"/>
              <w:rPr>
                <w:rFonts w:ascii="Arial" w:hAnsi="Arial" w:cs="Arial"/>
              </w:rPr>
            </w:pPr>
            <w:r w:rsidRPr="009D1E96">
              <w:rPr>
                <w:rFonts w:ascii="Arial" w:hAnsi="Arial" w:cs="Arial"/>
              </w:rPr>
              <w:t>A bienes de Carolina Féliz Ramírez</w:t>
            </w:r>
          </w:p>
        </w:tc>
        <w:tc>
          <w:tcPr>
            <w:tcW w:w="2576" w:type="dxa"/>
            <w:tcBorders>
              <w:top w:val="nil"/>
              <w:left w:val="nil"/>
              <w:bottom w:val="single" w:sz="4" w:space="0" w:color="auto"/>
              <w:right w:val="single" w:sz="4" w:space="0" w:color="auto"/>
            </w:tcBorders>
            <w:vAlign w:val="center"/>
          </w:tcPr>
          <w:p w14:paraId="5CC7C744" w14:textId="00F283FB" w:rsidR="009D1E96" w:rsidRPr="009D1E96" w:rsidRDefault="009D1E96" w:rsidP="009D1E96">
            <w:pPr>
              <w:spacing w:after="0" w:line="240" w:lineRule="auto"/>
              <w:rPr>
                <w:rFonts w:ascii="Arial" w:hAnsi="Arial" w:cs="Arial"/>
              </w:rPr>
            </w:pPr>
            <w:r w:rsidRPr="009D1E96">
              <w:rPr>
                <w:rFonts w:ascii="Arial" w:hAnsi="Arial" w:cs="Arial"/>
              </w:rPr>
              <w:t>Primera sección, en búsqueda de bienes</w:t>
            </w:r>
          </w:p>
        </w:tc>
        <w:tc>
          <w:tcPr>
            <w:tcW w:w="1413" w:type="dxa"/>
            <w:tcBorders>
              <w:top w:val="nil"/>
              <w:left w:val="nil"/>
              <w:bottom w:val="single" w:sz="4" w:space="0" w:color="auto"/>
              <w:right w:val="single" w:sz="4" w:space="0" w:color="auto"/>
            </w:tcBorders>
            <w:vAlign w:val="center"/>
          </w:tcPr>
          <w:p w14:paraId="77346859" w14:textId="40813C19" w:rsidR="009D1E96" w:rsidRPr="009D1E96" w:rsidRDefault="009D1E96" w:rsidP="009D1E96">
            <w:pPr>
              <w:spacing w:after="0" w:line="240" w:lineRule="auto"/>
              <w:rPr>
                <w:rFonts w:ascii="Arial" w:hAnsi="Arial" w:cs="Arial"/>
              </w:rPr>
            </w:pPr>
            <w:r w:rsidRPr="009D1E96">
              <w:rPr>
                <w:rFonts w:ascii="Arial" w:hAnsi="Arial" w:cs="Arial"/>
              </w:rPr>
              <w:t>Dolores Hidalgo C.I.N.</w:t>
            </w:r>
          </w:p>
        </w:tc>
        <w:tc>
          <w:tcPr>
            <w:tcW w:w="1044" w:type="dxa"/>
            <w:tcBorders>
              <w:top w:val="nil"/>
              <w:left w:val="nil"/>
              <w:bottom w:val="single" w:sz="4" w:space="0" w:color="auto"/>
              <w:right w:val="single" w:sz="8" w:space="0" w:color="auto"/>
            </w:tcBorders>
            <w:vAlign w:val="center"/>
          </w:tcPr>
          <w:p w14:paraId="309406B5" w14:textId="2BED0FBB" w:rsidR="009D1E96" w:rsidRPr="009D1E96" w:rsidRDefault="009D1E96" w:rsidP="009D1E96">
            <w:pPr>
              <w:spacing w:after="0" w:line="240" w:lineRule="auto"/>
              <w:rPr>
                <w:rFonts w:ascii="Arial" w:hAnsi="Arial" w:cs="Arial"/>
              </w:rPr>
            </w:pPr>
            <w:r w:rsidRPr="009D1E96">
              <w:rPr>
                <w:rFonts w:ascii="Arial" w:hAnsi="Arial" w:cs="Arial"/>
              </w:rPr>
              <w:t>Juzgado Primero Civil de Partido</w:t>
            </w:r>
          </w:p>
        </w:tc>
      </w:tr>
      <w:tr w:rsidR="009D1E96" w:rsidRPr="0089172B" w14:paraId="2ACC2AED"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4E6E0214" w14:textId="0FD89093" w:rsidR="009D1E96" w:rsidRPr="0089172B" w:rsidRDefault="009D1E96" w:rsidP="009D1E96">
            <w:pPr>
              <w:spacing w:after="0" w:line="240" w:lineRule="auto"/>
              <w:rPr>
                <w:rFonts w:cs="Calibri"/>
              </w:rPr>
            </w:pPr>
            <w:r w:rsidRPr="009D1E96">
              <w:t>508/2024</w:t>
            </w:r>
          </w:p>
        </w:tc>
        <w:tc>
          <w:tcPr>
            <w:tcW w:w="1903" w:type="dxa"/>
            <w:tcBorders>
              <w:top w:val="nil"/>
              <w:left w:val="nil"/>
              <w:bottom w:val="single" w:sz="4" w:space="0" w:color="auto"/>
              <w:right w:val="single" w:sz="4" w:space="0" w:color="auto"/>
            </w:tcBorders>
            <w:vAlign w:val="center"/>
          </w:tcPr>
          <w:p w14:paraId="6D52A5AF" w14:textId="732EC828"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16AB2469" w14:textId="389537AF" w:rsidR="009D1E96" w:rsidRPr="0089172B" w:rsidRDefault="009D1E96" w:rsidP="009D1E96">
            <w:pPr>
              <w:spacing w:after="0" w:line="240" w:lineRule="auto"/>
              <w:rPr>
                <w:rFonts w:cs="Calibri"/>
              </w:rPr>
            </w:pPr>
            <w:r w:rsidRPr="00EB747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EA0911C" w14:textId="50968B78" w:rsidR="009D1E96" w:rsidRPr="0089172B" w:rsidRDefault="009D1E96" w:rsidP="009D1E96">
            <w:pPr>
              <w:spacing w:after="0" w:line="240" w:lineRule="auto"/>
              <w:rPr>
                <w:rFonts w:cs="Calibri"/>
              </w:rPr>
            </w:pPr>
            <w:r w:rsidRPr="003A3C42">
              <w:t xml:space="preserve">A bienes de </w:t>
            </w:r>
            <w:r>
              <w:t>Sabas Sandoval Menchaca</w:t>
            </w:r>
          </w:p>
        </w:tc>
        <w:tc>
          <w:tcPr>
            <w:tcW w:w="2576" w:type="dxa"/>
            <w:tcBorders>
              <w:top w:val="nil"/>
              <w:left w:val="nil"/>
              <w:bottom w:val="single" w:sz="4" w:space="0" w:color="auto"/>
              <w:right w:val="single" w:sz="4" w:space="0" w:color="auto"/>
            </w:tcBorders>
            <w:vAlign w:val="center"/>
          </w:tcPr>
          <w:p w14:paraId="30EBA528" w14:textId="076D4804"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5B2BBC08" w14:textId="5FBBC2AE" w:rsidR="009D1E96" w:rsidRPr="0089172B" w:rsidRDefault="009D1E96" w:rsidP="009D1E96">
            <w:pPr>
              <w:spacing w:after="0" w:line="240" w:lineRule="auto"/>
              <w:rPr>
                <w:rFonts w:cs="Calibri"/>
              </w:rPr>
            </w:pPr>
            <w:r w:rsidRPr="009D1E96">
              <w:rPr>
                <w:rFonts w:ascii="Arial" w:hAnsi="Arial" w:cs="Arial"/>
              </w:rPr>
              <w:t>Dolores Hidalgo C.I.N.</w:t>
            </w:r>
          </w:p>
        </w:tc>
        <w:tc>
          <w:tcPr>
            <w:tcW w:w="1044" w:type="dxa"/>
            <w:tcBorders>
              <w:top w:val="nil"/>
              <w:left w:val="nil"/>
              <w:bottom w:val="single" w:sz="4" w:space="0" w:color="auto"/>
              <w:right w:val="single" w:sz="8" w:space="0" w:color="auto"/>
            </w:tcBorders>
            <w:vAlign w:val="center"/>
          </w:tcPr>
          <w:p w14:paraId="37D96A34" w14:textId="4650EC08" w:rsidR="009D1E96" w:rsidRPr="0089172B" w:rsidRDefault="009D1E96" w:rsidP="009D1E96">
            <w:pPr>
              <w:spacing w:after="0" w:line="240" w:lineRule="auto"/>
              <w:rPr>
                <w:rFonts w:cs="Calibri"/>
              </w:rPr>
            </w:pPr>
            <w:r w:rsidRPr="009D1E96">
              <w:rPr>
                <w:rFonts w:ascii="Arial" w:hAnsi="Arial" w:cs="Arial"/>
              </w:rPr>
              <w:t>Juzgado Primero Civil de Partido</w:t>
            </w:r>
          </w:p>
        </w:tc>
      </w:tr>
      <w:tr w:rsidR="009D1E96" w:rsidRPr="0089172B" w14:paraId="51DE2F5B"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75979E5C" w14:textId="254CC3C1" w:rsidR="009D1E96" w:rsidRPr="0089172B" w:rsidRDefault="009D1E96" w:rsidP="009D1E96">
            <w:pPr>
              <w:spacing w:after="0" w:line="240" w:lineRule="auto"/>
              <w:rPr>
                <w:rFonts w:cs="Calibri"/>
              </w:rPr>
            </w:pPr>
            <w:r w:rsidRPr="009D1E96">
              <w:t>357/2024</w:t>
            </w:r>
          </w:p>
        </w:tc>
        <w:tc>
          <w:tcPr>
            <w:tcW w:w="1903" w:type="dxa"/>
            <w:tcBorders>
              <w:top w:val="nil"/>
              <w:left w:val="nil"/>
              <w:bottom w:val="single" w:sz="4" w:space="0" w:color="auto"/>
              <w:right w:val="single" w:sz="4" w:space="0" w:color="auto"/>
            </w:tcBorders>
            <w:vAlign w:val="center"/>
          </w:tcPr>
          <w:p w14:paraId="54A32E93" w14:textId="6050DBFD"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133EA0AF" w14:textId="1526D75B"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64A726E6" w14:textId="007AD616" w:rsidR="009D1E96" w:rsidRPr="0089172B" w:rsidRDefault="009D1E96" w:rsidP="009D1E96">
            <w:pPr>
              <w:spacing w:after="0" w:line="240" w:lineRule="auto"/>
              <w:rPr>
                <w:rFonts w:cs="Calibri"/>
              </w:rPr>
            </w:pPr>
            <w:r w:rsidRPr="00274187">
              <w:t xml:space="preserve">A bienes de </w:t>
            </w:r>
            <w:r w:rsidRPr="009D1E96">
              <w:t>Ma. de los Ángeles Valenzuela Cervantes</w:t>
            </w:r>
          </w:p>
        </w:tc>
        <w:tc>
          <w:tcPr>
            <w:tcW w:w="2576" w:type="dxa"/>
            <w:tcBorders>
              <w:top w:val="nil"/>
              <w:left w:val="nil"/>
              <w:bottom w:val="single" w:sz="4" w:space="0" w:color="auto"/>
              <w:right w:val="single" w:sz="4" w:space="0" w:color="auto"/>
            </w:tcBorders>
            <w:vAlign w:val="center"/>
          </w:tcPr>
          <w:p w14:paraId="7B8C30C6" w14:textId="4F58F1C3"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4C38195C" w14:textId="35AC9C84" w:rsidR="009D1E96" w:rsidRPr="0089172B" w:rsidRDefault="009D1E96" w:rsidP="009D1E96">
            <w:pPr>
              <w:spacing w:after="0" w:line="240" w:lineRule="auto"/>
              <w:rPr>
                <w:rFonts w:cs="Calibri"/>
              </w:rPr>
            </w:pPr>
            <w:r w:rsidRPr="009D1E96">
              <w:t>Irapuato</w:t>
            </w:r>
          </w:p>
        </w:tc>
        <w:tc>
          <w:tcPr>
            <w:tcW w:w="1044" w:type="dxa"/>
            <w:tcBorders>
              <w:top w:val="nil"/>
              <w:left w:val="nil"/>
              <w:bottom w:val="single" w:sz="4" w:space="0" w:color="auto"/>
              <w:right w:val="single" w:sz="8" w:space="0" w:color="auto"/>
            </w:tcBorders>
            <w:vAlign w:val="center"/>
          </w:tcPr>
          <w:p w14:paraId="1F31BAF6" w14:textId="17216AC4" w:rsidR="009D1E96" w:rsidRPr="0089172B" w:rsidRDefault="009D1E96" w:rsidP="009D1E96">
            <w:pPr>
              <w:spacing w:after="0" w:line="240" w:lineRule="auto"/>
              <w:rPr>
                <w:rFonts w:cs="Calibri"/>
              </w:rPr>
            </w:pPr>
            <w:r w:rsidRPr="00274187">
              <w:t xml:space="preserve">Juzgado </w:t>
            </w:r>
            <w:r>
              <w:t>Quinto</w:t>
            </w:r>
            <w:r w:rsidRPr="00274187">
              <w:t xml:space="preserve"> Civil de Partido</w:t>
            </w:r>
          </w:p>
        </w:tc>
      </w:tr>
      <w:tr w:rsidR="009D1E96" w:rsidRPr="0089172B" w14:paraId="086F76EA"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53CB948B" w14:textId="43774A11" w:rsidR="009D1E96" w:rsidRPr="0089172B" w:rsidRDefault="009D1E96" w:rsidP="009D1E96">
            <w:pPr>
              <w:spacing w:after="0" w:line="240" w:lineRule="auto"/>
              <w:rPr>
                <w:rFonts w:cs="Calibri"/>
              </w:rPr>
            </w:pPr>
            <w:r w:rsidRPr="00274187">
              <w:t>488/2024</w:t>
            </w:r>
          </w:p>
        </w:tc>
        <w:tc>
          <w:tcPr>
            <w:tcW w:w="1903" w:type="dxa"/>
            <w:tcBorders>
              <w:top w:val="nil"/>
              <w:left w:val="nil"/>
              <w:bottom w:val="single" w:sz="4" w:space="0" w:color="auto"/>
              <w:right w:val="single" w:sz="4" w:space="0" w:color="auto"/>
            </w:tcBorders>
            <w:vAlign w:val="center"/>
          </w:tcPr>
          <w:p w14:paraId="440E7435" w14:textId="52614FCE"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798CFBAD" w14:textId="0ED59941"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0A027AA" w14:textId="71F810A4" w:rsidR="009D1E96" w:rsidRPr="0089172B" w:rsidRDefault="009D1E96" w:rsidP="009D1E96">
            <w:pPr>
              <w:spacing w:after="0" w:line="240" w:lineRule="auto"/>
              <w:rPr>
                <w:rFonts w:cs="Calibri"/>
              </w:rPr>
            </w:pPr>
            <w:r w:rsidRPr="00274187">
              <w:t>A bienes de Ma. Cristina Rodríguez Méndez</w:t>
            </w:r>
          </w:p>
        </w:tc>
        <w:tc>
          <w:tcPr>
            <w:tcW w:w="2576" w:type="dxa"/>
            <w:tcBorders>
              <w:top w:val="nil"/>
              <w:left w:val="nil"/>
              <w:bottom w:val="single" w:sz="4" w:space="0" w:color="auto"/>
              <w:right w:val="single" w:sz="4" w:space="0" w:color="auto"/>
            </w:tcBorders>
            <w:vAlign w:val="center"/>
          </w:tcPr>
          <w:p w14:paraId="0B1E7C81" w14:textId="54A358D7"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2B9B08E0" w14:textId="1994144A" w:rsidR="009D1E96" w:rsidRPr="0089172B" w:rsidRDefault="009D1E96" w:rsidP="009D1E96">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75B05310" w14:textId="60DB08BD" w:rsidR="009D1E96" w:rsidRPr="0089172B" w:rsidRDefault="009D1E96" w:rsidP="009D1E96">
            <w:pPr>
              <w:spacing w:after="0" w:line="240" w:lineRule="auto"/>
              <w:rPr>
                <w:rFonts w:cs="Calibri"/>
              </w:rPr>
            </w:pPr>
            <w:r w:rsidRPr="00274187">
              <w:t>Juzgado Décimo Primero Civil de Partido</w:t>
            </w:r>
          </w:p>
        </w:tc>
      </w:tr>
      <w:tr w:rsidR="009D1E96" w:rsidRPr="0089172B" w14:paraId="4A850595" w14:textId="77777777" w:rsidTr="009D1E96">
        <w:trPr>
          <w:trHeight w:val="1785"/>
          <w:tblHeader/>
        </w:trPr>
        <w:tc>
          <w:tcPr>
            <w:tcW w:w="1235" w:type="dxa"/>
            <w:tcBorders>
              <w:top w:val="nil"/>
              <w:left w:val="single" w:sz="8" w:space="0" w:color="auto"/>
              <w:bottom w:val="single" w:sz="4" w:space="0" w:color="auto"/>
              <w:right w:val="single" w:sz="4" w:space="0" w:color="auto"/>
            </w:tcBorders>
            <w:vAlign w:val="center"/>
          </w:tcPr>
          <w:p w14:paraId="3731AA47" w14:textId="1162364D" w:rsidR="009D1E96" w:rsidRPr="0089172B" w:rsidRDefault="00C04624" w:rsidP="009D1E96">
            <w:pPr>
              <w:spacing w:after="0" w:line="240" w:lineRule="auto"/>
              <w:rPr>
                <w:rFonts w:cs="Calibri"/>
              </w:rPr>
            </w:pPr>
            <w:r>
              <w:t>C</w:t>
            </w:r>
            <w:r w:rsidR="009D1E96" w:rsidRPr="00274187">
              <w:t>003/2024</w:t>
            </w:r>
          </w:p>
        </w:tc>
        <w:tc>
          <w:tcPr>
            <w:tcW w:w="1903" w:type="dxa"/>
            <w:tcBorders>
              <w:top w:val="nil"/>
              <w:left w:val="nil"/>
              <w:bottom w:val="single" w:sz="4" w:space="0" w:color="auto"/>
              <w:right w:val="single" w:sz="4" w:space="0" w:color="auto"/>
            </w:tcBorders>
            <w:vAlign w:val="center"/>
          </w:tcPr>
          <w:p w14:paraId="075E3346" w14:textId="4F6FB94F"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43E1B0DD" w14:textId="45D56FF5"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444ADD1C" w14:textId="7E52F321" w:rsidR="009D1E96" w:rsidRPr="0089172B" w:rsidRDefault="009D1E96" w:rsidP="009D1E96">
            <w:pPr>
              <w:spacing w:after="0" w:line="240" w:lineRule="auto"/>
              <w:rPr>
                <w:rFonts w:cs="Calibri"/>
              </w:rPr>
            </w:pPr>
            <w:r w:rsidRPr="00274187">
              <w:t>A bienes de J. Natividad Alamilla Sánchez</w:t>
            </w:r>
          </w:p>
        </w:tc>
        <w:tc>
          <w:tcPr>
            <w:tcW w:w="2576" w:type="dxa"/>
            <w:tcBorders>
              <w:top w:val="nil"/>
              <w:left w:val="nil"/>
              <w:bottom w:val="single" w:sz="4" w:space="0" w:color="auto"/>
              <w:right w:val="single" w:sz="4" w:space="0" w:color="auto"/>
            </w:tcBorders>
            <w:vAlign w:val="center"/>
          </w:tcPr>
          <w:p w14:paraId="07115850" w14:textId="4F463631"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3F75A012" w14:textId="5399E3B8" w:rsidR="009D1E96" w:rsidRPr="0089172B" w:rsidRDefault="009D1E96" w:rsidP="009D1E96">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1E8AB66C" w14:textId="51C1F597" w:rsidR="009D1E96" w:rsidRPr="0089172B" w:rsidRDefault="009D1E96" w:rsidP="009D1E96">
            <w:pPr>
              <w:spacing w:after="0" w:line="240" w:lineRule="auto"/>
              <w:rPr>
                <w:rFonts w:cs="Calibri"/>
              </w:rPr>
            </w:pPr>
            <w:r w:rsidRPr="00274187">
              <w:t>Juzgado Décimo Civil de Partido</w:t>
            </w:r>
          </w:p>
        </w:tc>
      </w:tr>
      <w:tr w:rsidR="009D1E96" w:rsidRPr="0089172B" w14:paraId="0DF2A58F"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C33EF61" w14:textId="12B7A7EF" w:rsidR="009D1E96" w:rsidRPr="004D0DD3" w:rsidRDefault="00CB2F8F" w:rsidP="009D1E96">
            <w:pPr>
              <w:pStyle w:val="Default"/>
              <w:rPr>
                <w:sz w:val="17"/>
                <w:szCs w:val="17"/>
              </w:rPr>
            </w:pPr>
            <w:r w:rsidRPr="00CB2F8F">
              <w:rPr>
                <w:sz w:val="17"/>
                <w:szCs w:val="17"/>
              </w:rPr>
              <w:t>504/2024</w:t>
            </w:r>
          </w:p>
        </w:tc>
        <w:tc>
          <w:tcPr>
            <w:tcW w:w="1903" w:type="dxa"/>
            <w:tcBorders>
              <w:top w:val="nil"/>
              <w:left w:val="nil"/>
              <w:bottom w:val="single" w:sz="4" w:space="0" w:color="auto"/>
              <w:right w:val="single" w:sz="4" w:space="0" w:color="auto"/>
            </w:tcBorders>
            <w:vAlign w:val="center"/>
            <w:hideMark/>
          </w:tcPr>
          <w:p w14:paraId="1F735CAB" w14:textId="77777777" w:rsidR="009D1E96" w:rsidRPr="0089172B" w:rsidRDefault="009D1E96" w:rsidP="009D1E96">
            <w:pPr>
              <w:spacing w:after="0" w:line="240" w:lineRule="auto"/>
              <w:rPr>
                <w:rFonts w:cs="Calibri"/>
              </w:rPr>
            </w:pPr>
            <w:r w:rsidRPr="0089172B">
              <w:rPr>
                <w:rFonts w:cs="Calibri"/>
              </w:rPr>
              <w:t xml:space="preserve">Juicio Sucesorio </w:t>
            </w:r>
            <w:proofErr w:type="spellStart"/>
            <w:r w:rsidRPr="0089172B">
              <w:rPr>
                <w:rFonts w:cs="Calibri"/>
              </w:rPr>
              <w:t>Intestamentario</w:t>
            </w:r>
            <w:proofErr w:type="spellEnd"/>
          </w:p>
        </w:tc>
        <w:tc>
          <w:tcPr>
            <w:tcW w:w="1530" w:type="dxa"/>
            <w:tcBorders>
              <w:top w:val="nil"/>
              <w:left w:val="nil"/>
              <w:bottom w:val="single" w:sz="4" w:space="0" w:color="auto"/>
              <w:right w:val="single" w:sz="4" w:space="0" w:color="auto"/>
            </w:tcBorders>
            <w:vAlign w:val="center"/>
            <w:hideMark/>
          </w:tcPr>
          <w:p w14:paraId="27B6CC7C" w14:textId="11A2554C"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2ACF8C03" w14:textId="19482FF2" w:rsidR="009D1E96" w:rsidRPr="0089172B" w:rsidRDefault="00CB2F8F" w:rsidP="009D1E96">
            <w:pPr>
              <w:spacing w:after="0" w:line="240" w:lineRule="auto"/>
              <w:rPr>
                <w:rFonts w:cs="Calibri"/>
              </w:rPr>
            </w:pPr>
            <w:r w:rsidRPr="00CB2F8F">
              <w:rPr>
                <w:rFonts w:ascii="Aptos Narrow" w:hAnsi="Aptos Narrow"/>
                <w:color w:val="000000"/>
              </w:rPr>
              <w:t>A bienes de Sergio Arredondo Ramírez</w:t>
            </w:r>
          </w:p>
        </w:tc>
        <w:tc>
          <w:tcPr>
            <w:tcW w:w="2576" w:type="dxa"/>
            <w:tcBorders>
              <w:top w:val="nil"/>
              <w:left w:val="nil"/>
              <w:bottom w:val="single" w:sz="4" w:space="0" w:color="auto"/>
              <w:right w:val="single" w:sz="4" w:space="0" w:color="auto"/>
            </w:tcBorders>
            <w:vAlign w:val="center"/>
          </w:tcPr>
          <w:p w14:paraId="773B1632" w14:textId="4E8362E7" w:rsidR="009D1E96" w:rsidRPr="0089172B" w:rsidRDefault="009D1E96" w:rsidP="009D1E96">
            <w:pPr>
              <w:spacing w:after="0" w:line="240" w:lineRule="auto"/>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30CF6477" w14:textId="41373154" w:rsidR="009D1E96" w:rsidRPr="0089172B" w:rsidRDefault="009D1E96" w:rsidP="009D1E96">
            <w:pPr>
              <w:spacing w:after="0" w:line="240" w:lineRule="auto"/>
              <w:rPr>
                <w:rFonts w:cs="Calibri"/>
              </w:rPr>
            </w:pPr>
            <w:r>
              <w:rPr>
                <w:rFonts w:ascii="Aptos Narrow" w:hAnsi="Aptos Narrow"/>
                <w:color w:val="000000"/>
              </w:rPr>
              <w:t>Salamanca</w:t>
            </w:r>
          </w:p>
        </w:tc>
        <w:tc>
          <w:tcPr>
            <w:tcW w:w="1044" w:type="dxa"/>
            <w:tcBorders>
              <w:top w:val="nil"/>
              <w:left w:val="nil"/>
              <w:bottom w:val="single" w:sz="4" w:space="0" w:color="auto"/>
              <w:right w:val="single" w:sz="8" w:space="0" w:color="auto"/>
            </w:tcBorders>
            <w:vAlign w:val="center"/>
          </w:tcPr>
          <w:p w14:paraId="1F4DFD14" w14:textId="5F9028BA" w:rsidR="009D1E96" w:rsidRPr="0089172B" w:rsidRDefault="009D1E96" w:rsidP="009D1E96">
            <w:pPr>
              <w:spacing w:after="0" w:line="240" w:lineRule="auto"/>
              <w:rPr>
                <w:rFonts w:cs="Calibri"/>
              </w:rPr>
            </w:pPr>
            <w:r w:rsidRPr="004D0DD3">
              <w:rPr>
                <w:rFonts w:ascii="Aptos Narrow" w:hAnsi="Aptos Narrow"/>
                <w:color w:val="000000"/>
              </w:rPr>
              <w:t xml:space="preserve">Juzgado </w:t>
            </w:r>
            <w:r w:rsidR="00CB2F8F">
              <w:rPr>
                <w:rFonts w:ascii="Aptos Narrow" w:hAnsi="Aptos Narrow"/>
                <w:color w:val="000000"/>
              </w:rPr>
              <w:t>Tercero</w:t>
            </w:r>
            <w:r w:rsidRPr="004D0DD3">
              <w:rPr>
                <w:rFonts w:ascii="Aptos Narrow" w:hAnsi="Aptos Narrow"/>
                <w:color w:val="000000"/>
              </w:rPr>
              <w:t xml:space="preserve"> Civil de Partido</w:t>
            </w:r>
          </w:p>
        </w:tc>
      </w:tr>
    </w:tbl>
    <w:p w14:paraId="6B4580BA" w14:textId="5B425BD3" w:rsidR="0089172B" w:rsidRDefault="0089172B">
      <w:pPr>
        <w:spacing w:after="0" w:line="240" w:lineRule="auto"/>
        <w:rPr>
          <w:rFonts w:cs="Calibri"/>
        </w:rPr>
      </w:pPr>
      <w:r>
        <w:rPr>
          <w:rFonts w:cs="Calibri"/>
        </w:rPr>
        <w:br w:type="page"/>
      </w:r>
    </w:p>
    <w:p w14:paraId="77E3B408"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8"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8"/>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A023D1" w14:textId="77777777"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Default="007D1E76" w:rsidP="00F46719">
      <w:pPr>
        <w:pStyle w:val="Ttulo2"/>
        <w:rPr>
          <w:rFonts w:asciiTheme="minorHAnsi" w:hAnsiTheme="minorHAnsi" w:cstheme="minorHAnsi"/>
          <w:b/>
          <w:color w:val="auto"/>
          <w:sz w:val="22"/>
        </w:rPr>
      </w:pPr>
      <w:bookmarkStart w:id="19"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9"/>
    </w:p>
    <w:p w14:paraId="2AA78DAB" w14:textId="77777777" w:rsidR="006E2B82" w:rsidRPr="006E2B82" w:rsidRDefault="006E2B82" w:rsidP="006E2B82"/>
    <w:p w14:paraId="0FD9BE7A" w14:textId="77777777" w:rsidR="006E2B82" w:rsidRPr="00022229" w:rsidRDefault="006E2B82" w:rsidP="006E2B82">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F6CF609" w14:textId="77777777" w:rsidR="006E2B82" w:rsidRDefault="006E2B82" w:rsidP="006E2B82">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E2B82" w:rsidRPr="00190C43" w14:paraId="370A7EBA" w14:textId="77777777" w:rsidTr="006063CA">
        <w:tc>
          <w:tcPr>
            <w:tcW w:w="4310" w:type="dxa"/>
            <w:tcBorders>
              <w:top w:val="single" w:sz="4" w:space="0" w:color="auto"/>
            </w:tcBorders>
          </w:tcPr>
          <w:p w14:paraId="4A8093D4" w14:textId="77777777" w:rsidR="006E2B82" w:rsidRPr="00190C43" w:rsidRDefault="006E2B82" w:rsidP="006063CA">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1B401CF" w14:textId="77777777" w:rsidR="006E2B82" w:rsidRPr="00190C43" w:rsidRDefault="006E2B82" w:rsidP="006063CA">
            <w:pPr>
              <w:rPr>
                <w:rFonts w:ascii="Arial" w:hAnsi="Arial" w:cs="Arial"/>
                <w:sz w:val="18"/>
                <w:szCs w:val="20"/>
              </w:rPr>
            </w:pPr>
          </w:p>
        </w:tc>
        <w:tc>
          <w:tcPr>
            <w:tcW w:w="4320" w:type="dxa"/>
            <w:tcBorders>
              <w:top w:val="single" w:sz="4" w:space="0" w:color="auto"/>
            </w:tcBorders>
          </w:tcPr>
          <w:p w14:paraId="31B63B37"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C.P. Pedro Rocha Montalvo</w:t>
            </w:r>
          </w:p>
        </w:tc>
      </w:tr>
      <w:tr w:rsidR="006E2B82" w:rsidRPr="00190C43" w14:paraId="7390024A" w14:textId="77777777" w:rsidTr="006063CA">
        <w:tc>
          <w:tcPr>
            <w:tcW w:w="4310" w:type="dxa"/>
          </w:tcPr>
          <w:p w14:paraId="28AC85E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D9AC590" w14:textId="77777777" w:rsidR="006E2B82" w:rsidRPr="00190C43" w:rsidRDefault="006E2B82" w:rsidP="006063CA">
            <w:pPr>
              <w:rPr>
                <w:rFonts w:ascii="Arial" w:hAnsi="Arial" w:cs="Arial"/>
                <w:sz w:val="18"/>
                <w:szCs w:val="20"/>
              </w:rPr>
            </w:pPr>
          </w:p>
        </w:tc>
        <w:tc>
          <w:tcPr>
            <w:tcW w:w="4320" w:type="dxa"/>
          </w:tcPr>
          <w:p w14:paraId="359A17C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Director de Recursos Financieros</w:t>
            </w:r>
          </w:p>
        </w:tc>
      </w:tr>
    </w:tbl>
    <w:p w14:paraId="24905817"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1832" w14:textId="77777777" w:rsidR="00B469C7" w:rsidRDefault="00B469C7" w:rsidP="00E00323">
      <w:pPr>
        <w:spacing w:after="0" w:line="240" w:lineRule="auto"/>
      </w:pPr>
      <w:r>
        <w:separator/>
      </w:r>
    </w:p>
  </w:endnote>
  <w:endnote w:type="continuationSeparator" w:id="0">
    <w:p w14:paraId="4B00F59D" w14:textId="77777777" w:rsidR="00B469C7" w:rsidRDefault="00B469C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Fira Sans">
    <w:charset w:val="00"/>
    <w:family w:val="swiss"/>
    <w:pitch w:val="variable"/>
    <w:sig w:usb0="600002FF" w:usb1="00000001"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44FE" w14:textId="77777777" w:rsidR="00B469C7" w:rsidRDefault="00B469C7" w:rsidP="00E00323">
      <w:pPr>
        <w:spacing w:after="0" w:line="240" w:lineRule="auto"/>
      </w:pPr>
      <w:r>
        <w:separator/>
      </w:r>
    </w:p>
  </w:footnote>
  <w:footnote w:type="continuationSeparator" w:id="0">
    <w:p w14:paraId="243D12DA" w14:textId="77777777" w:rsidR="00B469C7" w:rsidRDefault="00B469C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7CC2C2BD" w:rsidR="00154BA3" w:rsidRDefault="00D75307" w:rsidP="00A4610E">
    <w:pPr>
      <w:pStyle w:val="Encabezado"/>
      <w:spacing w:after="0" w:line="240" w:lineRule="auto"/>
      <w:jc w:val="center"/>
    </w:pPr>
    <w:r>
      <w:t>UNIVERSIDAD DE GUANAJUATO</w:t>
    </w:r>
  </w:p>
  <w:p w14:paraId="0DD2375F" w14:textId="0AB899AD" w:rsidR="009E6FD1" w:rsidRDefault="009E6FD1" w:rsidP="00DD2EEB">
    <w:pPr>
      <w:pStyle w:val="Encabezado"/>
      <w:spacing w:after="0" w:line="240" w:lineRule="auto"/>
      <w:jc w:val="center"/>
    </w:pPr>
    <w:r>
      <w:t xml:space="preserve">Correspondientes al </w:t>
    </w:r>
    <w:r w:rsidR="00D75307">
      <w:t>3</w:t>
    </w:r>
    <w:r w:rsidR="00FB256D">
      <w:t>1</w:t>
    </w:r>
    <w:r w:rsidR="00D75307">
      <w:t xml:space="preserve"> </w:t>
    </w:r>
    <w:r>
      <w:t xml:space="preserve">de </w:t>
    </w:r>
    <w:r w:rsidR="00270065">
      <w:t xml:space="preserve">marzo </w:t>
    </w:r>
    <w:r>
      <w:t>del</w:t>
    </w:r>
    <w:r w:rsidR="00D75307">
      <w:t xml:space="preserve"> 202</w:t>
    </w:r>
    <w:r w:rsidR="0027006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1" w15:restartNumberingAfterBreak="0">
    <w:nsid w:val="06D300AE"/>
    <w:multiLevelType w:val="hybridMultilevel"/>
    <w:tmpl w:val="954026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37A76"/>
    <w:multiLevelType w:val="hybridMultilevel"/>
    <w:tmpl w:val="95402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4E1F92"/>
    <w:multiLevelType w:val="hybridMultilevel"/>
    <w:tmpl w:val="2452CBB4"/>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63BF6"/>
    <w:multiLevelType w:val="hybridMultilevel"/>
    <w:tmpl w:val="073E354E"/>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30542">
    <w:abstractNumId w:val="16"/>
  </w:num>
  <w:num w:numId="2" w16cid:durableId="1598906956">
    <w:abstractNumId w:val="17"/>
  </w:num>
  <w:num w:numId="3" w16cid:durableId="1813670333">
    <w:abstractNumId w:val="10"/>
  </w:num>
  <w:num w:numId="4" w16cid:durableId="744957867">
    <w:abstractNumId w:val="3"/>
  </w:num>
  <w:num w:numId="5" w16cid:durableId="738750327">
    <w:abstractNumId w:val="12"/>
  </w:num>
  <w:num w:numId="6" w16cid:durableId="228811280">
    <w:abstractNumId w:val="7"/>
  </w:num>
  <w:num w:numId="7" w16cid:durableId="537662601">
    <w:abstractNumId w:val="9"/>
  </w:num>
  <w:num w:numId="8" w16cid:durableId="294726338">
    <w:abstractNumId w:val="21"/>
  </w:num>
  <w:num w:numId="9" w16cid:durableId="1175921204">
    <w:abstractNumId w:val="20"/>
  </w:num>
  <w:num w:numId="10" w16cid:durableId="699163714">
    <w:abstractNumId w:val="0"/>
  </w:num>
  <w:num w:numId="11" w16cid:durableId="1116212906">
    <w:abstractNumId w:val="22"/>
  </w:num>
  <w:num w:numId="12" w16cid:durableId="1127627790">
    <w:abstractNumId w:val="13"/>
  </w:num>
  <w:num w:numId="13" w16cid:durableId="1531796679">
    <w:abstractNumId w:val="8"/>
  </w:num>
  <w:num w:numId="14" w16cid:durableId="505436802">
    <w:abstractNumId w:val="4"/>
  </w:num>
  <w:num w:numId="15" w16cid:durableId="1668358586">
    <w:abstractNumId w:val="5"/>
  </w:num>
  <w:num w:numId="16" w16cid:durableId="631012122">
    <w:abstractNumId w:val="14"/>
  </w:num>
  <w:num w:numId="17" w16cid:durableId="1928994893">
    <w:abstractNumId w:val="15"/>
  </w:num>
  <w:num w:numId="18" w16cid:durableId="2010212781">
    <w:abstractNumId w:val="19"/>
  </w:num>
  <w:num w:numId="19" w16cid:durableId="1599678568">
    <w:abstractNumId w:val="18"/>
  </w:num>
  <w:num w:numId="20" w16cid:durableId="1285648912">
    <w:abstractNumId w:val="6"/>
  </w:num>
  <w:num w:numId="21" w16cid:durableId="1693145264">
    <w:abstractNumId w:val="11"/>
  </w:num>
  <w:num w:numId="22" w16cid:durableId="1247229206">
    <w:abstractNumId w:val="1"/>
  </w:num>
  <w:num w:numId="23" w16cid:durableId="1742483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9C8"/>
    <w:rsid w:val="00003637"/>
    <w:rsid w:val="00005A75"/>
    <w:rsid w:val="00011664"/>
    <w:rsid w:val="0002073E"/>
    <w:rsid w:val="000310EF"/>
    <w:rsid w:val="00040D4F"/>
    <w:rsid w:val="0008317F"/>
    <w:rsid w:val="00084BCD"/>
    <w:rsid w:val="00084EAE"/>
    <w:rsid w:val="00091CE6"/>
    <w:rsid w:val="000B7810"/>
    <w:rsid w:val="000C3365"/>
    <w:rsid w:val="000C36A9"/>
    <w:rsid w:val="000E3E17"/>
    <w:rsid w:val="00106EE9"/>
    <w:rsid w:val="001133E5"/>
    <w:rsid w:val="00114FA6"/>
    <w:rsid w:val="0012405A"/>
    <w:rsid w:val="0012493A"/>
    <w:rsid w:val="00143ACA"/>
    <w:rsid w:val="00154BA3"/>
    <w:rsid w:val="00172160"/>
    <w:rsid w:val="00190AF6"/>
    <w:rsid w:val="001973A2"/>
    <w:rsid w:val="001A65D3"/>
    <w:rsid w:val="001C34BC"/>
    <w:rsid w:val="001C710C"/>
    <w:rsid w:val="001C75F2"/>
    <w:rsid w:val="001D2063"/>
    <w:rsid w:val="001D43E9"/>
    <w:rsid w:val="001E7B4B"/>
    <w:rsid w:val="001F3A00"/>
    <w:rsid w:val="001F56BB"/>
    <w:rsid w:val="0020592E"/>
    <w:rsid w:val="00213FFA"/>
    <w:rsid w:val="00231FBE"/>
    <w:rsid w:val="00232175"/>
    <w:rsid w:val="0024740E"/>
    <w:rsid w:val="00266EFD"/>
    <w:rsid w:val="00270065"/>
    <w:rsid w:val="002722DD"/>
    <w:rsid w:val="002868C0"/>
    <w:rsid w:val="00293E42"/>
    <w:rsid w:val="00295B72"/>
    <w:rsid w:val="002A7406"/>
    <w:rsid w:val="002C7D8C"/>
    <w:rsid w:val="002E7187"/>
    <w:rsid w:val="002F3530"/>
    <w:rsid w:val="00303ED7"/>
    <w:rsid w:val="003217A0"/>
    <w:rsid w:val="003453CA"/>
    <w:rsid w:val="00351289"/>
    <w:rsid w:val="003749F1"/>
    <w:rsid w:val="00396D53"/>
    <w:rsid w:val="003A3C42"/>
    <w:rsid w:val="003A697C"/>
    <w:rsid w:val="003B6EC9"/>
    <w:rsid w:val="003D2E97"/>
    <w:rsid w:val="003E6C64"/>
    <w:rsid w:val="003F10A1"/>
    <w:rsid w:val="00416E17"/>
    <w:rsid w:val="0042336D"/>
    <w:rsid w:val="00423D14"/>
    <w:rsid w:val="0043078C"/>
    <w:rsid w:val="00435A87"/>
    <w:rsid w:val="00467E60"/>
    <w:rsid w:val="00482E7B"/>
    <w:rsid w:val="004A1077"/>
    <w:rsid w:val="004A58C8"/>
    <w:rsid w:val="004B5B05"/>
    <w:rsid w:val="004B5D55"/>
    <w:rsid w:val="004C5E1E"/>
    <w:rsid w:val="004D0DD3"/>
    <w:rsid w:val="004E33FB"/>
    <w:rsid w:val="004E3C60"/>
    <w:rsid w:val="004F234D"/>
    <w:rsid w:val="004F6FAC"/>
    <w:rsid w:val="005053EE"/>
    <w:rsid w:val="00506907"/>
    <w:rsid w:val="00512630"/>
    <w:rsid w:val="00516100"/>
    <w:rsid w:val="00516A8F"/>
    <w:rsid w:val="00540261"/>
    <w:rsid w:val="00541125"/>
    <w:rsid w:val="0054701E"/>
    <w:rsid w:val="00566776"/>
    <w:rsid w:val="005815F6"/>
    <w:rsid w:val="00592230"/>
    <w:rsid w:val="005B0867"/>
    <w:rsid w:val="005B5531"/>
    <w:rsid w:val="005C2C96"/>
    <w:rsid w:val="005C427D"/>
    <w:rsid w:val="005D3E43"/>
    <w:rsid w:val="005D5F74"/>
    <w:rsid w:val="005E231E"/>
    <w:rsid w:val="005E237D"/>
    <w:rsid w:val="005F2900"/>
    <w:rsid w:val="005F51CC"/>
    <w:rsid w:val="0064059E"/>
    <w:rsid w:val="006561D3"/>
    <w:rsid w:val="00657009"/>
    <w:rsid w:val="0066481B"/>
    <w:rsid w:val="00674D04"/>
    <w:rsid w:val="00681C79"/>
    <w:rsid w:val="00682952"/>
    <w:rsid w:val="006A3138"/>
    <w:rsid w:val="006B1ADF"/>
    <w:rsid w:val="006E2B82"/>
    <w:rsid w:val="006F0687"/>
    <w:rsid w:val="006F3DAF"/>
    <w:rsid w:val="006F4638"/>
    <w:rsid w:val="006F77A8"/>
    <w:rsid w:val="00700B6A"/>
    <w:rsid w:val="00717525"/>
    <w:rsid w:val="00731B38"/>
    <w:rsid w:val="00736A3C"/>
    <w:rsid w:val="00743F25"/>
    <w:rsid w:val="007610BC"/>
    <w:rsid w:val="0076192A"/>
    <w:rsid w:val="00765A4C"/>
    <w:rsid w:val="007714AB"/>
    <w:rsid w:val="00772CB1"/>
    <w:rsid w:val="00781ED6"/>
    <w:rsid w:val="00782453"/>
    <w:rsid w:val="007B0121"/>
    <w:rsid w:val="007B7EE1"/>
    <w:rsid w:val="007D1E76"/>
    <w:rsid w:val="007D4484"/>
    <w:rsid w:val="007E38A2"/>
    <w:rsid w:val="007F699D"/>
    <w:rsid w:val="00806269"/>
    <w:rsid w:val="008255BA"/>
    <w:rsid w:val="0082675C"/>
    <w:rsid w:val="00837374"/>
    <w:rsid w:val="00852565"/>
    <w:rsid w:val="00853786"/>
    <w:rsid w:val="00856CC2"/>
    <w:rsid w:val="0086420E"/>
    <w:rsid w:val="0086459F"/>
    <w:rsid w:val="00867421"/>
    <w:rsid w:val="00872441"/>
    <w:rsid w:val="0089172B"/>
    <w:rsid w:val="00892F81"/>
    <w:rsid w:val="008C3BB8"/>
    <w:rsid w:val="008C4C84"/>
    <w:rsid w:val="008E0746"/>
    <w:rsid w:val="008E076C"/>
    <w:rsid w:val="008E6268"/>
    <w:rsid w:val="008F631B"/>
    <w:rsid w:val="00911921"/>
    <w:rsid w:val="0092765C"/>
    <w:rsid w:val="00935117"/>
    <w:rsid w:val="009471EE"/>
    <w:rsid w:val="00967DDA"/>
    <w:rsid w:val="009736CB"/>
    <w:rsid w:val="00995882"/>
    <w:rsid w:val="009A70CB"/>
    <w:rsid w:val="009B27E0"/>
    <w:rsid w:val="009D1E96"/>
    <w:rsid w:val="009E6FD1"/>
    <w:rsid w:val="009F2F52"/>
    <w:rsid w:val="009F3A65"/>
    <w:rsid w:val="00A004FF"/>
    <w:rsid w:val="00A0625B"/>
    <w:rsid w:val="00A22696"/>
    <w:rsid w:val="00A326C9"/>
    <w:rsid w:val="00A33DCA"/>
    <w:rsid w:val="00A4610E"/>
    <w:rsid w:val="00A53F8E"/>
    <w:rsid w:val="00A6346D"/>
    <w:rsid w:val="00A730E0"/>
    <w:rsid w:val="00A747F5"/>
    <w:rsid w:val="00A75D1E"/>
    <w:rsid w:val="00A927E5"/>
    <w:rsid w:val="00AA2768"/>
    <w:rsid w:val="00AA3F65"/>
    <w:rsid w:val="00AA41E5"/>
    <w:rsid w:val="00AB0378"/>
    <w:rsid w:val="00AB2B98"/>
    <w:rsid w:val="00AB388A"/>
    <w:rsid w:val="00AB722B"/>
    <w:rsid w:val="00AC0064"/>
    <w:rsid w:val="00AD5F16"/>
    <w:rsid w:val="00AE1F6A"/>
    <w:rsid w:val="00AF4375"/>
    <w:rsid w:val="00B073DE"/>
    <w:rsid w:val="00B27F13"/>
    <w:rsid w:val="00B469C7"/>
    <w:rsid w:val="00B6368B"/>
    <w:rsid w:val="00B75CF4"/>
    <w:rsid w:val="00B87BEA"/>
    <w:rsid w:val="00BA53FE"/>
    <w:rsid w:val="00BC3042"/>
    <w:rsid w:val="00BE02EB"/>
    <w:rsid w:val="00BF5046"/>
    <w:rsid w:val="00C04624"/>
    <w:rsid w:val="00C4250B"/>
    <w:rsid w:val="00C4625D"/>
    <w:rsid w:val="00C50946"/>
    <w:rsid w:val="00C54C12"/>
    <w:rsid w:val="00C73B70"/>
    <w:rsid w:val="00C873A8"/>
    <w:rsid w:val="00C93C67"/>
    <w:rsid w:val="00C94210"/>
    <w:rsid w:val="00C95564"/>
    <w:rsid w:val="00C97E1E"/>
    <w:rsid w:val="00CA30AC"/>
    <w:rsid w:val="00CB0F4E"/>
    <w:rsid w:val="00CB2F8F"/>
    <w:rsid w:val="00CB41C4"/>
    <w:rsid w:val="00CC3917"/>
    <w:rsid w:val="00CC692F"/>
    <w:rsid w:val="00CF1316"/>
    <w:rsid w:val="00D061D2"/>
    <w:rsid w:val="00D13C44"/>
    <w:rsid w:val="00D268CB"/>
    <w:rsid w:val="00D27BE8"/>
    <w:rsid w:val="00D32331"/>
    <w:rsid w:val="00D40FC2"/>
    <w:rsid w:val="00D4325E"/>
    <w:rsid w:val="00D47571"/>
    <w:rsid w:val="00D5018E"/>
    <w:rsid w:val="00D52FFD"/>
    <w:rsid w:val="00D546B2"/>
    <w:rsid w:val="00D75307"/>
    <w:rsid w:val="00D86C2E"/>
    <w:rsid w:val="00D91F2F"/>
    <w:rsid w:val="00D975B1"/>
    <w:rsid w:val="00DA41EC"/>
    <w:rsid w:val="00DD018C"/>
    <w:rsid w:val="00DD0F21"/>
    <w:rsid w:val="00DD2EEB"/>
    <w:rsid w:val="00DE38D4"/>
    <w:rsid w:val="00DF31FF"/>
    <w:rsid w:val="00E00323"/>
    <w:rsid w:val="00E11758"/>
    <w:rsid w:val="00E23A9B"/>
    <w:rsid w:val="00E74967"/>
    <w:rsid w:val="00E7559F"/>
    <w:rsid w:val="00E85520"/>
    <w:rsid w:val="00E9132F"/>
    <w:rsid w:val="00E921D3"/>
    <w:rsid w:val="00EA37F5"/>
    <w:rsid w:val="00EA7915"/>
    <w:rsid w:val="00ED7AA0"/>
    <w:rsid w:val="00EE50ED"/>
    <w:rsid w:val="00EF4951"/>
    <w:rsid w:val="00F067C8"/>
    <w:rsid w:val="00F25220"/>
    <w:rsid w:val="00F37A8E"/>
    <w:rsid w:val="00F43AC5"/>
    <w:rsid w:val="00F46719"/>
    <w:rsid w:val="00F53CCC"/>
    <w:rsid w:val="00F54F6F"/>
    <w:rsid w:val="00F6102D"/>
    <w:rsid w:val="00F65A92"/>
    <w:rsid w:val="00F6723D"/>
    <w:rsid w:val="00F6759B"/>
    <w:rsid w:val="00FB245A"/>
    <w:rsid w:val="00FB256D"/>
    <w:rsid w:val="00FB2659"/>
    <w:rsid w:val="00FC1AE8"/>
    <w:rsid w:val="00FC4CC1"/>
    <w:rsid w:val="00FD43DE"/>
    <w:rsid w:val="00FF4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97"/>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8E626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8E6268"/>
    <w:rPr>
      <w:color w:val="auto"/>
    </w:rPr>
  </w:style>
  <w:style w:type="paragraph" w:styleId="TDC1">
    <w:name w:val="toc 1"/>
    <w:basedOn w:val="Normal"/>
    <w:next w:val="Normal"/>
    <w:autoRedefine/>
    <w:uiPriority w:val="39"/>
    <w:unhideWhenUsed/>
    <w:rsid w:val="006E2B82"/>
    <w:pPr>
      <w:spacing w:after="100"/>
    </w:pPr>
  </w:style>
  <w:style w:type="paragraph" w:customStyle="1" w:styleId="TableParagraph">
    <w:name w:val="Table Paragraph"/>
    <w:basedOn w:val="Normal"/>
    <w:uiPriority w:val="1"/>
    <w:qFormat/>
    <w:rsid w:val="0089172B"/>
    <w:pPr>
      <w:widowControl w:val="0"/>
      <w:autoSpaceDE w:val="0"/>
      <w:autoSpaceDN w:val="0"/>
      <w:spacing w:before="25" w:after="0" w:line="240" w:lineRule="auto"/>
      <w:ind w:left="33"/>
    </w:pPr>
    <w:rPr>
      <w:rFonts w:cs="Calibri"/>
      <w:lang w:val="es-ES"/>
    </w:rPr>
  </w:style>
  <w:style w:type="character" w:styleId="Mencinsinresolver">
    <w:name w:val="Unresolved Mention"/>
    <w:basedOn w:val="Fuentedeprrafopredeter"/>
    <w:uiPriority w:val="99"/>
    <w:semiHidden/>
    <w:unhideWhenUsed/>
    <w:rsid w:val="0087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00">
      <w:bodyDiv w:val="1"/>
      <w:marLeft w:val="0"/>
      <w:marRight w:val="0"/>
      <w:marTop w:val="0"/>
      <w:marBottom w:val="0"/>
      <w:divBdr>
        <w:top w:val="none" w:sz="0" w:space="0" w:color="auto"/>
        <w:left w:val="none" w:sz="0" w:space="0" w:color="auto"/>
        <w:bottom w:val="none" w:sz="0" w:space="0" w:color="auto"/>
        <w:right w:val="none" w:sz="0" w:space="0" w:color="auto"/>
      </w:divBdr>
    </w:div>
    <w:div w:id="47847814">
      <w:bodyDiv w:val="1"/>
      <w:marLeft w:val="0"/>
      <w:marRight w:val="0"/>
      <w:marTop w:val="0"/>
      <w:marBottom w:val="0"/>
      <w:divBdr>
        <w:top w:val="none" w:sz="0" w:space="0" w:color="auto"/>
        <w:left w:val="none" w:sz="0" w:space="0" w:color="auto"/>
        <w:bottom w:val="none" w:sz="0" w:space="0" w:color="auto"/>
        <w:right w:val="none" w:sz="0" w:space="0" w:color="auto"/>
      </w:divBdr>
    </w:div>
    <w:div w:id="155153851">
      <w:bodyDiv w:val="1"/>
      <w:marLeft w:val="0"/>
      <w:marRight w:val="0"/>
      <w:marTop w:val="0"/>
      <w:marBottom w:val="0"/>
      <w:divBdr>
        <w:top w:val="none" w:sz="0" w:space="0" w:color="auto"/>
        <w:left w:val="none" w:sz="0" w:space="0" w:color="auto"/>
        <w:bottom w:val="none" w:sz="0" w:space="0" w:color="auto"/>
        <w:right w:val="none" w:sz="0" w:space="0" w:color="auto"/>
      </w:divBdr>
    </w:div>
    <w:div w:id="158354143">
      <w:bodyDiv w:val="1"/>
      <w:marLeft w:val="0"/>
      <w:marRight w:val="0"/>
      <w:marTop w:val="0"/>
      <w:marBottom w:val="0"/>
      <w:divBdr>
        <w:top w:val="none" w:sz="0" w:space="0" w:color="auto"/>
        <w:left w:val="none" w:sz="0" w:space="0" w:color="auto"/>
        <w:bottom w:val="none" w:sz="0" w:space="0" w:color="auto"/>
        <w:right w:val="none" w:sz="0" w:space="0" w:color="auto"/>
      </w:divBdr>
    </w:div>
    <w:div w:id="193613586">
      <w:bodyDiv w:val="1"/>
      <w:marLeft w:val="0"/>
      <w:marRight w:val="0"/>
      <w:marTop w:val="0"/>
      <w:marBottom w:val="0"/>
      <w:divBdr>
        <w:top w:val="none" w:sz="0" w:space="0" w:color="auto"/>
        <w:left w:val="none" w:sz="0" w:space="0" w:color="auto"/>
        <w:bottom w:val="none" w:sz="0" w:space="0" w:color="auto"/>
        <w:right w:val="none" w:sz="0" w:space="0" w:color="auto"/>
      </w:divBdr>
    </w:div>
    <w:div w:id="203756210">
      <w:bodyDiv w:val="1"/>
      <w:marLeft w:val="0"/>
      <w:marRight w:val="0"/>
      <w:marTop w:val="0"/>
      <w:marBottom w:val="0"/>
      <w:divBdr>
        <w:top w:val="none" w:sz="0" w:space="0" w:color="auto"/>
        <w:left w:val="none" w:sz="0" w:space="0" w:color="auto"/>
        <w:bottom w:val="none" w:sz="0" w:space="0" w:color="auto"/>
        <w:right w:val="none" w:sz="0" w:space="0" w:color="auto"/>
      </w:divBdr>
    </w:div>
    <w:div w:id="268663795">
      <w:bodyDiv w:val="1"/>
      <w:marLeft w:val="0"/>
      <w:marRight w:val="0"/>
      <w:marTop w:val="0"/>
      <w:marBottom w:val="0"/>
      <w:divBdr>
        <w:top w:val="none" w:sz="0" w:space="0" w:color="auto"/>
        <w:left w:val="none" w:sz="0" w:space="0" w:color="auto"/>
        <w:bottom w:val="none" w:sz="0" w:space="0" w:color="auto"/>
        <w:right w:val="none" w:sz="0" w:space="0" w:color="auto"/>
      </w:divBdr>
    </w:div>
    <w:div w:id="296953917">
      <w:bodyDiv w:val="1"/>
      <w:marLeft w:val="0"/>
      <w:marRight w:val="0"/>
      <w:marTop w:val="0"/>
      <w:marBottom w:val="0"/>
      <w:divBdr>
        <w:top w:val="none" w:sz="0" w:space="0" w:color="auto"/>
        <w:left w:val="none" w:sz="0" w:space="0" w:color="auto"/>
        <w:bottom w:val="none" w:sz="0" w:space="0" w:color="auto"/>
        <w:right w:val="none" w:sz="0" w:space="0" w:color="auto"/>
      </w:divBdr>
    </w:div>
    <w:div w:id="376785439">
      <w:bodyDiv w:val="1"/>
      <w:marLeft w:val="0"/>
      <w:marRight w:val="0"/>
      <w:marTop w:val="0"/>
      <w:marBottom w:val="0"/>
      <w:divBdr>
        <w:top w:val="none" w:sz="0" w:space="0" w:color="auto"/>
        <w:left w:val="none" w:sz="0" w:space="0" w:color="auto"/>
        <w:bottom w:val="none" w:sz="0" w:space="0" w:color="auto"/>
        <w:right w:val="none" w:sz="0" w:space="0" w:color="auto"/>
      </w:divBdr>
    </w:div>
    <w:div w:id="642808504">
      <w:bodyDiv w:val="1"/>
      <w:marLeft w:val="0"/>
      <w:marRight w:val="0"/>
      <w:marTop w:val="0"/>
      <w:marBottom w:val="0"/>
      <w:divBdr>
        <w:top w:val="none" w:sz="0" w:space="0" w:color="auto"/>
        <w:left w:val="none" w:sz="0" w:space="0" w:color="auto"/>
        <w:bottom w:val="none" w:sz="0" w:space="0" w:color="auto"/>
        <w:right w:val="none" w:sz="0" w:space="0" w:color="auto"/>
      </w:divBdr>
    </w:div>
    <w:div w:id="656496174">
      <w:bodyDiv w:val="1"/>
      <w:marLeft w:val="0"/>
      <w:marRight w:val="0"/>
      <w:marTop w:val="0"/>
      <w:marBottom w:val="0"/>
      <w:divBdr>
        <w:top w:val="none" w:sz="0" w:space="0" w:color="auto"/>
        <w:left w:val="none" w:sz="0" w:space="0" w:color="auto"/>
        <w:bottom w:val="none" w:sz="0" w:space="0" w:color="auto"/>
        <w:right w:val="none" w:sz="0" w:space="0" w:color="auto"/>
      </w:divBdr>
    </w:div>
    <w:div w:id="721445003">
      <w:bodyDiv w:val="1"/>
      <w:marLeft w:val="0"/>
      <w:marRight w:val="0"/>
      <w:marTop w:val="0"/>
      <w:marBottom w:val="0"/>
      <w:divBdr>
        <w:top w:val="none" w:sz="0" w:space="0" w:color="auto"/>
        <w:left w:val="none" w:sz="0" w:space="0" w:color="auto"/>
        <w:bottom w:val="none" w:sz="0" w:space="0" w:color="auto"/>
        <w:right w:val="none" w:sz="0" w:space="0" w:color="auto"/>
      </w:divBdr>
    </w:div>
    <w:div w:id="948970846">
      <w:bodyDiv w:val="1"/>
      <w:marLeft w:val="0"/>
      <w:marRight w:val="0"/>
      <w:marTop w:val="0"/>
      <w:marBottom w:val="0"/>
      <w:divBdr>
        <w:top w:val="none" w:sz="0" w:space="0" w:color="auto"/>
        <w:left w:val="none" w:sz="0" w:space="0" w:color="auto"/>
        <w:bottom w:val="none" w:sz="0" w:space="0" w:color="auto"/>
        <w:right w:val="none" w:sz="0" w:space="0" w:color="auto"/>
      </w:divBdr>
    </w:div>
    <w:div w:id="1044064590">
      <w:bodyDiv w:val="1"/>
      <w:marLeft w:val="0"/>
      <w:marRight w:val="0"/>
      <w:marTop w:val="0"/>
      <w:marBottom w:val="0"/>
      <w:divBdr>
        <w:top w:val="none" w:sz="0" w:space="0" w:color="auto"/>
        <w:left w:val="none" w:sz="0" w:space="0" w:color="auto"/>
        <w:bottom w:val="none" w:sz="0" w:space="0" w:color="auto"/>
        <w:right w:val="none" w:sz="0" w:space="0" w:color="auto"/>
      </w:divBdr>
    </w:div>
    <w:div w:id="1052461283">
      <w:bodyDiv w:val="1"/>
      <w:marLeft w:val="0"/>
      <w:marRight w:val="0"/>
      <w:marTop w:val="0"/>
      <w:marBottom w:val="0"/>
      <w:divBdr>
        <w:top w:val="none" w:sz="0" w:space="0" w:color="auto"/>
        <w:left w:val="none" w:sz="0" w:space="0" w:color="auto"/>
        <w:bottom w:val="none" w:sz="0" w:space="0" w:color="auto"/>
        <w:right w:val="none" w:sz="0" w:space="0" w:color="auto"/>
      </w:divBdr>
    </w:div>
    <w:div w:id="1203783101">
      <w:bodyDiv w:val="1"/>
      <w:marLeft w:val="0"/>
      <w:marRight w:val="0"/>
      <w:marTop w:val="0"/>
      <w:marBottom w:val="0"/>
      <w:divBdr>
        <w:top w:val="none" w:sz="0" w:space="0" w:color="auto"/>
        <w:left w:val="none" w:sz="0" w:space="0" w:color="auto"/>
        <w:bottom w:val="none" w:sz="0" w:space="0" w:color="auto"/>
        <w:right w:val="none" w:sz="0" w:space="0" w:color="auto"/>
      </w:divBdr>
    </w:div>
    <w:div w:id="1209487831">
      <w:bodyDiv w:val="1"/>
      <w:marLeft w:val="0"/>
      <w:marRight w:val="0"/>
      <w:marTop w:val="0"/>
      <w:marBottom w:val="0"/>
      <w:divBdr>
        <w:top w:val="none" w:sz="0" w:space="0" w:color="auto"/>
        <w:left w:val="none" w:sz="0" w:space="0" w:color="auto"/>
        <w:bottom w:val="none" w:sz="0" w:space="0" w:color="auto"/>
        <w:right w:val="none" w:sz="0" w:space="0" w:color="auto"/>
      </w:divBdr>
    </w:div>
    <w:div w:id="1236161514">
      <w:bodyDiv w:val="1"/>
      <w:marLeft w:val="0"/>
      <w:marRight w:val="0"/>
      <w:marTop w:val="0"/>
      <w:marBottom w:val="0"/>
      <w:divBdr>
        <w:top w:val="none" w:sz="0" w:space="0" w:color="auto"/>
        <w:left w:val="none" w:sz="0" w:space="0" w:color="auto"/>
        <w:bottom w:val="none" w:sz="0" w:space="0" w:color="auto"/>
        <w:right w:val="none" w:sz="0" w:space="0" w:color="auto"/>
      </w:divBdr>
    </w:div>
    <w:div w:id="1335061909">
      <w:bodyDiv w:val="1"/>
      <w:marLeft w:val="0"/>
      <w:marRight w:val="0"/>
      <w:marTop w:val="0"/>
      <w:marBottom w:val="0"/>
      <w:divBdr>
        <w:top w:val="none" w:sz="0" w:space="0" w:color="auto"/>
        <w:left w:val="none" w:sz="0" w:space="0" w:color="auto"/>
        <w:bottom w:val="none" w:sz="0" w:space="0" w:color="auto"/>
        <w:right w:val="none" w:sz="0" w:space="0" w:color="auto"/>
      </w:divBdr>
    </w:div>
    <w:div w:id="1484587397">
      <w:bodyDiv w:val="1"/>
      <w:marLeft w:val="0"/>
      <w:marRight w:val="0"/>
      <w:marTop w:val="0"/>
      <w:marBottom w:val="0"/>
      <w:divBdr>
        <w:top w:val="none" w:sz="0" w:space="0" w:color="auto"/>
        <w:left w:val="none" w:sz="0" w:space="0" w:color="auto"/>
        <w:bottom w:val="none" w:sz="0" w:space="0" w:color="auto"/>
        <w:right w:val="none" w:sz="0" w:space="0" w:color="auto"/>
      </w:divBdr>
    </w:div>
    <w:div w:id="1503278598">
      <w:bodyDiv w:val="1"/>
      <w:marLeft w:val="0"/>
      <w:marRight w:val="0"/>
      <w:marTop w:val="0"/>
      <w:marBottom w:val="0"/>
      <w:divBdr>
        <w:top w:val="none" w:sz="0" w:space="0" w:color="auto"/>
        <w:left w:val="none" w:sz="0" w:space="0" w:color="auto"/>
        <w:bottom w:val="none" w:sz="0" w:space="0" w:color="auto"/>
        <w:right w:val="none" w:sz="0" w:space="0" w:color="auto"/>
      </w:divBdr>
    </w:div>
    <w:div w:id="1576207602">
      <w:bodyDiv w:val="1"/>
      <w:marLeft w:val="0"/>
      <w:marRight w:val="0"/>
      <w:marTop w:val="0"/>
      <w:marBottom w:val="0"/>
      <w:divBdr>
        <w:top w:val="none" w:sz="0" w:space="0" w:color="auto"/>
        <w:left w:val="none" w:sz="0" w:space="0" w:color="auto"/>
        <w:bottom w:val="none" w:sz="0" w:space="0" w:color="auto"/>
        <w:right w:val="none" w:sz="0" w:space="0" w:color="auto"/>
      </w:divBdr>
    </w:div>
    <w:div w:id="1584756748">
      <w:bodyDiv w:val="1"/>
      <w:marLeft w:val="0"/>
      <w:marRight w:val="0"/>
      <w:marTop w:val="0"/>
      <w:marBottom w:val="0"/>
      <w:divBdr>
        <w:top w:val="none" w:sz="0" w:space="0" w:color="auto"/>
        <w:left w:val="none" w:sz="0" w:space="0" w:color="auto"/>
        <w:bottom w:val="none" w:sz="0" w:space="0" w:color="auto"/>
        <w:right w:val="none" w:sz="0" w:space="0" w:color="auto"/>
      </w:divBdr>
    </w:div>
    <w:div w:id="1761637745">
      <w:bodyDiv w:val="1"/>
      <w:marLeft w:val="0"/>
      <w:marRight w:val="0"/>
      <w:marTop w:val="0"/>
      <w:marBottom w:val="0"/>
      <w:divBdr>
        <w:top w:val="none" w:sz="0" w:space="0" w:color="auto"/>
        <w:left w:val="none" w:sz="0" w:space="0" w:color="auto"/>
        <w:bottom w:val="none" w:sz="0" w:space="0" w:color="auto"/>
        <w:right w:val="none" w:sz="0" w:space="0" w:color="auto"/>
      </w:divBdr>
    </w:div>
    <w:div w:id="1769808588">
      <w:bodyDiv w:val="1"/>
      <w:marLeft w:val="0"/>
      <w:marRight w:val="0"/>
      <w:marTop w:val="0"/>
      <w:marBottom w:val="0"/>
      <w:divBdr>
        <w:top w:val="none" w:sz="0" w:space="0" w:color="auto"/>
        <w:left w:val="none" w:sz="0" w:space="0" w:color="auto"/>
        <w:bottom w:val="none" w:sz="0" w:space="0" w:color="auto"/>
        <w:right w:val="none" w:sz="0" w:space="0" w:color="auto"/>
      </w:divBdr>
    </w:div>
    <w:div w:id="1875995085">
      <w:bodyDiv w:val="1"/>
      <w:marLeft w:val="0"/>
      <w:marRight w:val="0"/>
      <w:marTop w:val="0"/>
      <w:marBottom w:val="0"/>
      <w:divBdr>
        <w:top w:val="none" w:sz="0" w:space="0" w:color="auto"/>
        <w:left w:val="none" w:sz="0" w:space="0" w:color="auto"/>
        <w:bottom w:val="none" w:sz="0" w:space="0" w:color="auto"/>
        <w:right w:val="none" w:sz="0" w:space="0" w:color="auto"/>
      </w:divBdr>
    </w:div>
    <w:div w:id="1922256766">
      <w:bodyDiv w:val="1"/>
      <w:marLeft w:val="0"/>
      <w:marRight w:val="0"/>
      <w:marTop w:val="0"/>
      <w:marBottom w:val="0"/>
      <w:divBdr>
        <w:top w:val="none" w:sz="0" w:space="0" w:color="auto"/>
        <w:left w:val="none" w:sz="0" w:space="0" w:color="auto"/>
        <w:bottom w:val="none" w:sz="0" w:space="0" w:color="auto"/>
        <w:right w:val="none" w:sz="0" w:space="0" w:color="auto"/>
      </w:divBdr>
    </w:div>
    <w:div w:id="2028215468">
      <w:bodyDiv w:val="1"/>
      <w:marLeft w:val="0"/>
      <w:marRight w:val="0"/>
      <w:marTop w:val="0"/>
      <w:marBottom w:val="0"/>
      <w:divBdr>
        <w:top w:val="none" w:sz="0" w:space="0" w:color="auto"/>
        <w:left w:val="none" w:sz="0" w:space="0" w:color="auto"/>
        <w:bottom w:val="none" w:sz="0" w:space="0" w:color="auto"/>
        <w:right w:val="none" w:sz="0" w:space="0" w:color="auto"/>
      </w:divBdr>
    </w:div>
    <w:div w:id="20623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25</Pages>
  <Words>9318</Words>
  <Characters>51254</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60452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7</cp:revision>
  <cp:lastPrinted>2026-04-28T18:16:00Z</cp:lastPrinted>
  <dcterms:created xsi:type="dcterms:W3CDTF">2026-01-29T18:57:00Z</dcterms:created>
  <dcterms:modified xsi:type="dcterms:W3CDTF">2026-04-28T19:10:00Z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