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49E84"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16214E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7AC8D1C8" w14:textId="77777777" w:rsidR="007D1E76" w:rsidRPr="00E74967" w:rsidRDefault="0037113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524ED21" w14:textId="77777777" w:rsidR="007D1E76" w:rsidRPr="00E74967" w:rsidRDefault="007D1E76" w:rsidP="00CB41C4">
      <w:pPr>
        <w:tabs>
          <w:tab w:val="left" w:leader="underscore" w:pos="9639"/>
        </w:tabs>
        <w:spacing w:after="0" w:line="240" w:lineRule="auto"/>
        <w:jc w:val="both"/>
        <w:rPr>
          <w:rFonts w:cs="Calibri"/>
        </w:rPr>
      </w:pPr>
    </w:p>
    <w:p w14:paraId="74A9CE0C" w14:textId="77777777" w:rsidR="007D1E76" w:rsidRPr="00E74967" w:rsidRDefault="007D1E76" w:rsidP="00CB41C4">
      <w:pPr>
        <w:tabs>
          <w:tab w:val="left" w:leader="underscore" w:pos="9639"/>
        </w:tabs>
        <w:spacing w:after="0" w:line="240" w:lineRule="auto"/>
        <w:jc w:val="both"/>
        <w:rPr>
          <w:rFonts w:cs="Calibri"/>
        </w:rPr>
      </w:pPr>
    </w:p>
    <w:p w14:paraId="31529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47B7FCB7" w14:textId="77777777" w:rsidR="007D1E76" w:rsidRPr="00E74967" w:rsidRDefault="007D1E76" w:rsidP="00CB41C4">
      <w:pPr>
        <w:tabs>
          <w:tab w:val="left" w:leader="underscore" w:pos="9639"/>
        </w:tabs>
        <w:spacing w:after="0" w:line="240" w:lineRule="auto"/>
        <w:jc w:val="both"/>
        <w:rPr>
          <w:rFonts w:cs="Calibri"/>
        </w:rPr>
      </w:pPr>
    </w:p>
    <w:p w14:paraId="7866D5D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1C267F63" w14:textId="77777777" w:rsidR="007D1E76" w:rsidRPr="00E74967" w:rsidRDefault="007D1E76" w:rsidP="00CB41C4">
      <w:pPr>
        <w:tabs>
          <w:tab w:val="left" w:leader="underscore" w:pos="9639"/>
        </w:tabs>
        <w:spacing w:after="0" w:line="240" w:lineRule="auto"/>
        <w:jc w:val="both"/>
        <w:rPr>
          <w:rFonts w:cs="Calibri"/>
        </w:rPr>
      </w:pPr>
    </w:p>
    <w:p w14:paraId="0BF1A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11B009A" w14:textId="77777777" w:rsidR="007D1E76" w:rsidRPr="00E74967" w:rsidRDefault="007D1E76" w:rsidP="00CB41C4">
      <w:pPr>
        <w:pStyle w:val="Prrafodelista"/>
        <w:tabs>
          <w:tab w:val="left" w:leader="underscore" w:pos="9639"/>
        </w:tabs>
        <w:spacing w:after="0" w:line="240" w:lineRule="auto"/>
        <w:jc w:val="both"/>
        <w:rPr>
          <w:rFonts w:cs="Calibri"/>
        </w:rPr>
      </w:pPr>
    </w:p>
    <w:p w14:paraId="13F2F5E1"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6ACF7BB9"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4CA50E2" w14:textId="77777777" w:rsidR="00F46719" w:rsidRDefault="00F46719">
          <w:pPr>
            <w:pStyle w:val="TtuloTDC"/>
          </w:pPr>
          <w:r>
            <w:rPr>
              <w:lang w:val="es-ES"/>
            </w:rPr>
            <w:t>Contenido</w:t>
          </w:r>
        </w:p>
        <w:p w14:paraId="508DBE80" w14:textId="3E06C09F"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950433">
              <w:rPr>
                <w:noProof/>
                <w:webHidden/>
              </w:rPr>
              <w:t>2</w:t>
            </w:r>
            <w:r w:rsidR="003232C5">
              <w:rPr>
                <w:noProof/>
                <w:webHidden/>
              </w:rPr>
              <w:fldChar w:fldCharType="end"/>
            </w:r>
          </w:hyperlink>
        </w:p>
        <w:p w14:paraId="68D20A84" w14:textId="5C46BE78" w:rsidR="003232C5" w:rsidRDefault="0037113F">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950433">
              <w:rPr>
                <w:noProof/>
                <w:webHidden/>
              </w:rPr>
              <w:t>2</w:t>
            </w:r>
            <w:r w:rsidR="003232C5">
              <w:rPr>
                <w:noProof/>
                <w:webHidden/>
              </w:rPr>
              <w:fldChar w:fldCharType="end"/>
            </w:r>
          </w:hyperlink>
        </w:p>
        <w:p w14:paraId="5CEA57DF" w14:textId="7B60A4BB" w:rsidR="003232C5" w:rsidRDefault="0037113F">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950433">
              <w:rPr>
                <w:noProof/>
                <w:webHidden/>
              </w:rPr>
              <w:t>2</w:t>
            </w:r>
            <w:r w:rsidR="003232C5">
              <w:rPr>
                <w:noProof/>
                <w:webHidden/>
              </w:rPr>
              <w:fldChar w:fldCharType="end"/>
            </w:r>
          </w:hyperlink>
        </w:p>
        <w:p w14:paraId="2539F1C3" w14:textId="22F78C4B" w:rsidR="003232C5" w:rsidRDefault="0037113F">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950433">
              <w:rPr>
                <w:noProof/>
                <w:webHidden/>
              </w:rPr>
              <w:t>3</w:t>
            </w:r>
            <w:r w:rsidR="003232C5">
              <w:rPr>
                <w:noProof/>
                <w:webHidden/>
              </w:rPr>
              <w:fldChar w:fldCharType="end"/>
            </w:r>
          </w:hyperlink>
        </w:p>
        <w:p w14:paraId="3AFC80F5" w14:textId="2D1F30C4" w:rsidR="003232C5" w:rsidRDefault="0037113F">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950433">
              <w:rPr>
                <w:noProof/>
                <w:webHidden/>
              </w:rPr>
              <w:t>5</w:t>
            </w:r>
            <w:r w:rsidR="003232C5">
              <w:rPr>
                <w:noProof/>
                <w:webHidden/>
              </w:rPr>
              <w:fldChar w:fldCharType="end"/>
            </w:r>
          </w:hyperlink>
        </w:p>
        <w:p w14:paraId="03EC1CE9" w14:textId="7F9755E2" w:rsidR="003232C5" w:rsidRDefault="0037113F">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950433">
              <w:rPr>
                <w:noProof/>
                <w:webHidden/>
              </w:rPr>
              <w:t>9</w:t>
            </w:r>
            <w:r w:rsidR="003232C5">
              <w:rPr>
                <w:noProof/>
                <w:webHidden/>
              </w:rPr>
              <w:fldChar w:fldCharType="end"/>
            </w:r>
          </w:hyperlink>
        </w:p>
        <w:p w14:paraId="141DCB52" w14:textId="4247096D" w:rsidR="003232C5" w:rsidRDefault="0037113F">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950433">
              <w:rPr>
                <w:noProof/>
                <w:webHidden/>
              </w:rPr>
              <w:t>9</w:t>
            </w:r>
            <w:r w:rsidR="003232C5">
              <w:rPr>
                <w:noProof/>
                <w:webHidden/>
              </w:rPr>
              <w:fldChar w:fldCharType="end"/>
            </w:r>
          </w:hyperlink>
        </w:p>
        <w:p w14:paraId="560DD6DD" w14:textId="7B874515" w:rsidR="003232C5" w:rsidRDefault="0037113F">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950433">
              <w:rPr>
                <w:noProof/>
                <w:webHidden/>
              </w:rPr>
              <w:t>12</w:t>
            </w:r>
            <w:r w:rsidR="003232C5">
              <w:rPr>
                <w:noProof/>
                <w:webHidden/>
              </w:rPr>
              <w:fldChar w:fldCharType="end"/>
            </w:r>
          </w:hyperlink>
        </w:p>
        <w:p w14:paraId="6BF8C076" w14:textId="293BB752" w:rsidR="003232C5" w:rsidRDefault="0037113F">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950433">
              <w:rPr>
                <w:noProof/>
                <w:webHidden/>
              </w:rPr>
              <w:t>12</w:t>
            </w:r>
            <w:r w:rsidR="003232C5">
              <w:rPr>
                <w:noProof/>
                <w:webHidden/>
              </w:rPr>
              <w:fldChar w:fldCharType="end"/>
            </w:r>
          </w:hyperlink>
        </w:p>
        <w:p w14:paraId="40FC6973" w14:textId="2B17D373" w:rsidR="003232C5" w:rsidRDefault="0037113F">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950433">
              <w:rPr>
                <w:noProof/>
                <w:webHidden/>
              </w:rPr>
              <w:t>13</w:t>
            </w:r>
            <w:r w:rsidR="003232C5">
              <w:rPr>
                <w:noProof/>
                <w:webHidden/>
              </w:rPr>
              <w:fldChar w:fldCharType="end"/>
            </w:r>
          </w:hyperlink>
        </w:p>
        <w:p w14:paraId="2E6640E9" w14:textId="43B1E1D5" w:rsidR="003232C5" w:rsidRDefault="0037113F">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950433">
              <w:rPr>
                <w:noProof/>
                <w:webHidden/>
              </w:rPr>
              <w:t>13</w:t>
            </w:r>
            <w:r w:rsidR="003232C5">
              <w:rPr>
                <w:noProof/>
                <w:webHidden/>
              </w:rPr>
              <w:fldChar w:fldCharType="end"/>
            </w:r>
          </w:hyperlink>
        </w:p>
        <w:p w14:paraId="23D50635" w14:textId="77C236FF" w:rsidR="003232C5" w:rsidRDefault="0037113F">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950433">
              <w:rPr>
                <w:noProof/>
                <w:webHidden/>
              </w:rPr>
              <w:t>14</w:t>
            </w:r>
            <w:r w:rsidR="003232C5">
              <w:rPr>
                <w:noProof/>
                <w:webHidden/>
              </w:rPr>
              <w:fldChar w:fldCharType="end"/>
            </w:r>
          </w:hyperlink>
        </w:p>
        <w:p w14:paraId="3E5BF7BF" w14:textId="48EF9BD2" w:rsidR="003232C5" w:rsidRDefault="0037113F">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950433">
              <w:rPr>
                <w:noProof/>
                <w:webHidden/>
              </w:rPr>
              <w:t>14</w:t>
            </w:r>
            <w:r w:rsidR="003232C5">
              <w:rPr>
                <w:noProof/>
                <w:webHidden/>
              </w:rPr>
              <w:fldChar w:fldCharType="end"/>
            </w:r>
          </w:hyperlink>
        </w:p>
        <w:p w14:paraId="693C21B7" w14:textId="5B99CFA9" w:rsidR="003232C5" w:rsidRDefault="0037113F">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950433">
              <w:rPr>
                <w:noProof/>
                <w:webHidden/>
              </w:rPr>
              <w:t>14</w:t>
            </w:r>
            <w:r w:rsidR="003232C5">
              <w:rPr>
                <w:noProof/>
                <w:webHidden/>
              </w:rPr>
              <w:fldChar w:fldCharType="end"/>
            </w:r>
          </w:hyperlink>
        </w:p>
        <w:p w14:paraId="42E666B0" w14:textId="0FCDD1BA" w:rsidR="003232C5" w:rsidRDefault="0037113F">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950433">
              <w:rPr>
                <w:noProof/>
                <w:webHidden/>
              </w:rPr>
              <w:t>16</w:t>
            </w:r>
            <w:r w:rsidR="003232C5">
              <w:rPr>
                <w:noProof/>
                <w:webHidden/>
              </w:rPr>
              <w:fldChar w:fldCharType="end"/>
            </w:r>
          </w:hyperlink>
        </w:p>
        <w:p w14:paraId="1BFE356C" w14:textId="4B220B68" w:rsidR="003232C5" w:rsidRDefault="0037113F">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950433">
              <w:rPr>
                <w:noProof/>
                <w:webHidden/>
              </w:rPr>
              <w:t>16</w:t>
            </w:r>
            <w:r w:rsidR="003232C5">
              <w:rPr>
                <w:noProof/>
                <w:webHidden/>
              </w:rPr>
              <w:fldChar w:fldCharType="end"/>
            </w:r>
          </w:hyperlink>
        </w:p>
        <w:p w14:paraId="02542EA7" w14:textId="77777777" w:rsidR="00F46719" w:rsidRDefault="00F46719">
          <w:r>
            <w:rPr>
              <w:b/>
              <w:bCs/>
              <w:lang w:val="es-ES"/>
            </w:rPr>
            <w:fldChar w:fldCharType="end"/>
          </w:r>
        </w:p>
      </w:sdtContent>
    </w:sdt>
    <w:p w14:paraId="728E7BE8" w14:textId="77777777" w:rsidR="00F46719" w:rsidRPr="00E74967" w:rsidRDefault="00F46719" w:rsidP="00CB41C4">
      <w:pPr>
        <w:tabs>
          <w:tab w:val="left" w:leader="underscore" w:pos="9639"/>
        </w:tabs>
        <w:spacing w:after="0" w:line="240" w:lineRule="auto"/>
        <w:jc w:val="both"/>
        <w:rPr>
          <w:rFonts w:cs="Calibri"/>
        </w:rPr>
      </w:pPr>
    </w:p>
    <w:p w14:paraId="5F3458CF" w14:textId="77777777" w:rsidR="007D1E76" w:rsidRPr="00E74967" w:rsidRDefault="007D1E76" w:rsidP="00CB41C4">
      <w:pPr>
        <w:tabs>
          <w:tab w:val="left" w:leader="underscore" w:pos="9639"/>
        </w:tabs>
        <w:spacing w:after="0" w:line="240" w:lineRule="auto"/>
        <w:jc w:val="both"/>
        <w:rPr>
          <w:rFonts w:cs="Calibri"/>
        </w:rPr>
      </w:pPr>
    </w:p>
    <w:p w14:paraId="763FF2C2"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0E50FC75" w14:textId="528E5B50"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3F1D145" w14:textId="77777777" w:rsidR="0054701E" w:rsidRPr="00E74967" w:rsidRDefault="0054701E" w:rsidP="00CB41C4">
      <w:pPr>
        <w:tabs>
          <w:tab w:val="left" w:leader="underscore" w:pos="9639"/>
        </w:tabs>
        <w:spacing w:after="0" w:line="240" w:lineRule="auto"/>
        <w:jc w:val="both"/>
        <w:rPr>
          <w:rFonts w:cs="Calibri"/>
        </w:rPr>
      </w:pPr>
    </w:p>
    <w:p w14:paraId="7EF629D1"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4AF2A64"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EFA14B9" w14:textId="77777777" w:rsidR="007D1E76" w:rsidRPr="00E74967" w:rsidRDefault="007D1E76" w:rsidP="00CB41C4">
      <w:pPr>
        <w:tabs>
          <w:tab w:val="left" w:leader="underscore" w:pos="9639"/>
        </w:tabs>
        <w:spacing w:after="0" w:line="240" w:lineRule="auto"/>
        <w:jc w:val="both"/>
        <w:rPr>
          <w:rFonts w:cs="Calibri"/>
        </w:rPr>
      </w:pPr>
    </w:p>
    <w:p w14:paraId="2AF9C13E"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A773EAA" w14:textId="77777777" w:rsidR="007D1E76" w:rsidRPr="00E74967" w:rsidRDefault="007D1E76" w:rsidP="00CB41C4">
      <w:pPr>
        <w:tabs>
          <w:tab w:val="left" w:leader="underscore" w:pos="9639"/>
        </w:tabs>
        <w:spacing w:after="0" w:line="240" w:lineRule="auto"/>
        <w:jc w:val="both"/>
        <w:rPr>
          <w:rFonts w:cs="Calibri"/>
        </w:rPr>
      </w:pPr>
    </w:p>
    <w:p w14:paraId="5BABE31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6C34A3D4" w14:textId="77777777" w:rsidR="004508FE" w:rsidRPr="008878FA" w:rsidRDefault="004508FE" w:rsidP="004508FE">
      <w:pPr>
        <w:spacing w:after="0" w:line="240" w:lineRule="auto"/>
        <w:jc w:val="both"/>
        <w:rPr>
          <w:rFonts w:ascii="Trebuchet MS" w:hAnsi="Trebuchet MS"/>
          <w:sz w:val="20"/>
          <w:szCs w:val="20"/>
        </w:rPr>
      </w:pPr>
    </w:p>
    <w:p w14:paraId="3A7DE31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0A7ECD58" w14:textId="77777777" w:rsidR="004508FE" w:rsidRDefault="004508FE" w:rsidP="004508FE">
      <w:pPr>
        <w:jc w:val="both"/>
        <w:rPr>
          <w:rFonts w:ascii="Trebuchet MS" w:hAnsi="Trebuchet MS" w:cs="Arial"/>
          <w:sz w:val="20"/>
          <w:szCs w:val="20"/>
        </w:rPr>
      </w:pPr>
    </w:p>
    <w:p w14:paraId="3D985B79"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8F9F4C5" w14:textId="77777777" w:rsidR="004508FE" w:rsidRDefault="004508FE" w:rsidP="004508FE">
      <w:pPr>
        <w:spacing w:after="0" w:line="240" w:lineRule="auto"/>
        <w:jc w:val="both"/>
        <w:rPr>
          <w:rFonts w:ascii="Trebuchet MS" w:hAnsi="Trebuchet MS"/>
          <w:b/>
          <w:sz w:val="20"/>
          <w:szCs w:val="20"/>
        </w:rPr>
      </w:pPr>
    </w:p>
    <w:p w14:paraId="482FEBC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Principales cambios en su estructura (interna históricamente).</w:t>
      </w:r>
    </w:p>
    <w:p w14:paraId="71760730" w14:textId="77777777" w:rsidR="004508FE" w:rsidRDefault="004508FE" w:rsidP="004508FE">
      <w:pPr>
        <w:jc w:val="both"/>
        <w:rPr>
          <w:rFonts w:ascii="Trebuchet MS" w:hAnsi="Trebuchet MS" w:cs="Arial"/>
          <w:sz w:val="20"/>
          <w:szCs w:val="20"/>
        </w:rPr>
      </w:pPr>
    </w:p>
    <w:p w14:paraId="57FEB5F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197DCE8"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1A02AD1D" w14:textId="77777777" w:rsidR="007D1E76" w:rsidRPr="00E74967" w:rsidRDefault="0037113F"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73B7FC89" w14:textId="77777777" w:rsidR="007D1E76" w:rsidRPr="00E74967" w:rsidRDefault="007D1E76" w:rsidP="00CB41C4">
      <w:pPr>
        <w:tabs>
          <w:tab w:val="left" w:leader="underscore" w:pos="9639"/>
        </w:tabs>
        <w:spacing w:after="0" w:line="240" w:lineRule="auto"/>
        <w:jc w:val="both"/>
        <w:rPr>
          <w:rFonts w:cs="Calibri"/>
        </w:rPr>
      </w:pPr>
    </w:p>
    <w:p w14:paraId="74600D27"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3E574E6" w14:textId="77777777" w:rsidR="007D1E76" w:rsidRPr="00E74967" w:rsidRDefault="007D1E76" w:rsidP="00CB41C4">
      <w:pPr>
        <w:tabs>
          <w:tab w:val="left" w:leader="underscore" w:pos="9639"/>
        </w:tabs>
        <w:spacing w:after="0" w:line="240" w:lineRule="auto"/>
        <w:jc w:val="both"/>
        <w:rPr>
          <w:rFonts w:cs="Calibri"/>
        </w:rPr>
      </w:pPr>
    </w:p>
    <w:p w14:paraId="34C26C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21C584E2" w14:textId="77777777" w:rsidR="007D1E76" w:rsidRPr="00E74967" w:rsidRDefault="007D1E76" w:rsidP="00CB41C4">
      <w:pPr>
        <w:tabs>
          <w:tab w:val="left" w:leader="underscore" w:pos="9639"/>
        </w:tabs>
        <w:spacing w:after="0" w:line="240" w:lineRule="auto"/>
        <w:jc w:val="both"/>
        <w:rPr>
          <w:rFonts w:cs="Calibri"/>
        </w:rPr>
      </w:pPr>
    </w:p>
    <w:p w14:paraId="3187A74C"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29D63E" w14:textId="77777777" w:rsidR="004508FE" w:rsidRPr="00E74967" w:rsidRDefault="004508FE" w:rsidP="00CB41C4">
      <w:pPr>
        <w:tabs>
          <w:tab w:val="left" w:leader="underscore" w:pos="9639"/>
        </w:tabs>
        <w:spacing w:after="0" w:line="240" w:lineRule="auto"/>
        <w:jc w:val="both"/>
        <w:rPr>
          <w:rFonts w:cs="Calibri"/>
        </w:rPr>
      </w:pPr>
    </w:p>
    <w:p w14:paraId="2C0CD4E0"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034F72BD" w14:textId="77777777" w:rsidR="007D1E76" w:rsidRPr="00E74967" w:rsidRDefault="007D1E76" w:rsidP="00CB41C4">
      <w:pPr>
        <w:tabs>
          <w:tab w:val="left" w:leader="underscore" w:pos="9639"/>
        </w:tabs>
        <w:spacing w:after="0" w:line="240" w:lineRule="auto"/>
        <w:jc w:val="both"/>
        <w:rPr>
          <w:rFonts w:cs="Calibri"/>
        </w:rPr>
      </w:pPr>
    </w:p>
    <w:p w14:paraId="19F17C9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044EAEB" w14:textId="77777777" w:rsidR="0049465C" w:rsidRDefault="0049465C" w:rsidP="0049465C">
      <w:pPr>
        <w:rPr>
          <w:b/>
        </w:rPr>
      </w:pPr>
    </w:p>
    <w:p w14:paraId="4EF53035" w14:textId="77777777" w:rsidR="0049465C" w:rsidRDefault="0049465C" w:rsidP="0049465C">
      <w:r w:rsidRPr="004D20E6">
        <w:rPr>
          <w:b/>
        </w:rPr>
        <w:t>Artículo 5.</w:t>
      </w:r>
      <w:r>
        <w:t xml:space="preserve"> Son funciones esenciales de la universidad:</w:t>
      </w:r>
    </w:p>
    <w:p w14:paraId="2F473E3E" w14:textId="77777777" w:rsidR="0049465C" w:rsidRDefault="0049465C" w:rsidP="0049465C">
      <w:pPr>
        <w:pStyle w:val="Prrafodelista"/>
        <w:numPr>
          <w:ilvl w:val="0"/>
          <w:numId w:val="3"/>
        </w:numPr>
        <w:spacing w:after="160" w:line="259" w:lineRule="auto"/>
      </w:pPr>
      <w:r>
        <w:t>La educación en los niveles que ella determine</w:t>
      </w:r>
    </w:p>
    <w:p w14:paraId="5B2B93F5"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31D80A20"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48094B96" w14:textId="77777777" w:rsidR="00CB41C4" w:rsidRPr="00E74967" w:rsidRDefault="00CB41C4" w:rsidP="00CB41C4">
      <w:pPr>
        <w:tabs>
          <w:tab w:val="left" w:leader="underscore" w:pos="9639"/>
        </w:tabs>
        <w:spacing w:after="0" w:line="240" w:lineRule="auto"/>
        <w:jc w:val="both"/>
        <w:rPr>
          <w:rFonts w:cs="Calibri"/>
        </w:rPr>
      </w:pPr>
    </w:p>
    <w:p w14:paraId="27A58A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14CA444C" w14:textId="338376A8"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435B86">
        <w:rPr>
          <w:rFonts w:ascii="Trebuchet MS" w:hAnsi="Trebuchet MS"/>
          <w:sz w:val="20"/>
          <w:szCs w:val="20"/>
        </w:rPr>
        <w:t>1</w:t>
      </w:r>
    </w:p>
    <w:p w14:paraId="2EAAD414" w14:textId="77777777" w:rsidR="007D1E76" w:rsidRPr="00E74967" w:rsidRDefault="007D1E76" w:rsidP="00CB41C4">
      <w:pPr>
        <w:tabs>
          <w:tab w:val="left" w:leader="underscore" w:pos="9639"/>
        </w:tabs>
        <w:spacing w:after="0" w:line="240" w:lineRule="auto"/>
        <w:jc w:val="both"/>
        <w:rPr>
          <w:rFonts w:cs="Calibri"/>
        </w:rPr>
      </w:pPr>
    </w:p>
    <w:p w14:paraId="6A96CD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648E207"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2513FB5D" w14:textId="77777777" w:rsidR="00F12EB0" w:rsidRDefault="00F12EB0">
      <w:pPr>
        <w:spacing w:after="0" w:line="240" w:lineRule="auto"/>
        <w:rPr>
          <w:rFonts w:cs="Calibri"/>
        </w:rPr>
      </w:pPr>
      <w:r>
        <w:rPr>
          <w:rFonts w:cs="Calibri"/>
        </w:rPr>
        <w:br w:type="page"/>
      </w:r>
    </w:p>
    <w:p w14:paraId="0A9EE9F1" w14:textId="77777777" w:rsidR="007D1E76" w:rsidRPr="00E74967" w:rsidRDefault="007D1E76" w:rsidP="00CB41C4">
      <w:pPr>
        <w:tabs>
          <w:tab w:val="left" w:leader="underscore" w:pos="9639"/>
        </w:tabs>
        <w:spacing w:after="0" w:line="240" w:lineRule="auto"/>
        <w:jc w:val="both"/>
        <w:rPr>
          <w:rFonts w:cs="Calibri"/>
        </w:rPr>
      </w:pPr>
    </w:p>
    <w:p w14:paraId="0D817D26"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AACFEE" w14:textId="77777777" w:rsidR="0049465C" w:rsidRPr="00E74967" w:rsidRDefault="0049465C" w:rsidP="00CB41C4">
      <w:pPr>
        <w:tabs>
          <w:tab w:val="left" w:leader="underscore" w:pos="9639"/>
        </w:tabs>
        <w:spacing w:after="0" w:line="240" w:lineRule="auto"/>
        <w:jc w:val="both"/>
        <w:rPr>
          <w:rFonts w:cs="Calibri"/>
        </w:rPr>
      </w:pPr>
    </w:p>
    <w:p w14:paraId="22F7AEFC" w14:textId="14AAB453"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00C501"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F92677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4E98319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3FB38D9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664C30A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13F42DA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1986FF4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6AFB604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48A9E481"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38AFF8D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51E9162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7602F6A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6ABC8E5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5EADE2F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4FE825FF" w14:textId="77777777" w:rsidR="00F12EB0" w:rsidRDefault="00F12EB0">
      <w:pPr>
        <w:spacing w:after="0" w:line="240" w:lineRule="auto"/>
        <w:rPr>
          <w:rFonts w:cs="Calibri"/>
          <w:b/>
        </w:rPr>
      </w:pPr>
      <w:r>
        <w:rPr>
          <w:rFonts w:cs="Calibri"/>
          <w:b/>
        </w:rPr>
        <w:br w:type="page"/>
      </w:r>
    </w:p>
    <w:p w14:paraId="18067770" w14:textId="77777777" w:rsidR="0049465C" w:rsidRDefault="0049465C" w:rsidP="00CB41C4">
      <w:pPr>
        <w:tabs>
          <w:tab w:val="left" w:leader="underscore" w:pos="9639"/>
        </w:tabs>
        <w:spacing w:after="0" w:line="240" w:lineRule="auto"/>
        <w:jc w:val="both"/>
        <w:rPr>
          <w:rFonts w:cs="Calibri"/>
          <w:b/>
        </w:rPr>
      </w:pPr>
    </w:p>
    <w:p w14:paraId="4B20C85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3B1DA50" w14:textId="42D79160" w:rsidR="007D1E76" w:rsidRDefault="00847A66" w:rsidP="00CB41C4">
      <w:pPr>
        <w:tabs>
          <w:tab w:val="left" w:leader="underscore" w:pos="9639"/>
        </w:tabs>
        <w:spacing w:after="0" w:line="240" w:lineRule="auto"/>
        <w:jc w:val="both"/>
        <w:rPr>
          <w:rFonts w:cs="Calibri"/>
        </w:rPr>
      </w:pPr>
      <w:r>
        <w:rPr>
          <w:noProof/>
        </w:rPr>
        <w:drawing>
          <wp:inline distT="0" distB="0" distL="0" distR="0" wp14:anchorId="62F0DE2C" wp14:editId="4D883711">
            <wp:extent cx="5943600" cy="2966720"/>
            <wp:effectExtent l="0" t="0" r="0" b="508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6720"/>
                    </a:xfrm>
                    <a:prstGeom prst="rect">
                      <a:avLst/>
                    </a:prstGeom>
                    <a:noFill/>
                    <a:ln>
                      <a:noFill/>
                    </a:ln>
                  </pic:spPr>
                </pic:pic>
              </a:graphicData>
            </a:graphic>
          </wp:inline>
        </w:drawing>
      </w:r>
    </w:p>
    <w:p w14:paraId="191117D1" w14:textId="77777777" w:rsidR="00CB41C4" w:rsidRPr="00E74967" w:rsidRDefault="00CB41C4" w:rsidP="00CB41C4">
      <w:pPr>
        <w:tabs>
          <w:tab w:val="left" w:leader="underscore" w:pos="9639"/>
        </w:tabs>
        <w:spacing w:after="0" w:line="240" w:lineRule="auto"/>
        <w:jc w:val="both"/>
        <w:rPr>
          <w:rFonts w:cs="Calibri"/>
        </w:rPr>
      </w:pPr>
    </w:p>
    <w:p w14:paraId="3FCB5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7DC65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D2E3876"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5138EECB" w14:textId="242D5BF4"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7910ED41" w14:textId="1844746E"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196ABED7" w14:textId="7C849156"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4C87A32" w14:textId="1A047DA6" w:rsidR="00847A66" w:rsidRPr="00115509" w:rsidRDefault="00847A66" w:rsidP="0049465C">
      <w:pPr>
        <w:numPr>
          <w:ilvl w:val="0"/>
          <w:numId w:val="5"/>
        </w:numPr>
        <w:jc w:val="both"/>
        <w:rPr>
          <w:rFonts w:ascii="Trebuchet MS" w:hAnsi="Trebuchet MS" w:cs="Arial"/>
          <w:sz w:val="20"/>
          <w:szCs w:val="20"/>
        </w:rPr>
      </w:pPr>
      <w:r w:rsidRPr="006353E5">
        <w:t>PROFEXCE</w:t>
      </w:r>
    </w:p>
    <w:p w14:paraId="2F280B0F" w14:textId="77777777" w:rsidR="00CB41C4" w:rsidRPr="00E74967" w:rsidRDefault="00CB41C4" w:rsidP="00CB41C4">
      <w:pPr>
        <w:tabs>
          <w:tab w:val="left" w:leader="underscore" w:pos="9639"/>
        </w:tabs>
        <w:spacing w:after="0" w:line="240" w:lineRule="auto"/>
        <w:jc w:val="both"/>
        <w:rPr>
          <w:rFonts w:cs="Calibri"/>
        </w:rPr>
      </w:pPr>
    </w:p>
    <w:p w14:paraId="2E3D06D5"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63BDEA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1DAE073" w14:textId="77777777" w:rsidR="0049465C" w:rsidRPr="008878FA" w:rsidRDefault="0049465C" w:rsidP="0049465C">
      <w:pPr>
        <w:spacing w:after="0" w:line="240" w:lineRule="auto"/>
        <w:jc w:val="both"/>
        <w:rPr>
          <w:rFonts w:ascii="Trebuchet MS" w:hAnsi="Trebuchet MS"/>
          <w:sz w:val="20"/>
          <w:szCs w:val="20"/>
        </w:rPr>
      </w:pPr>
    </w:p>
    <w:p w14:paraId="74E185CC"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0AD6E437" w14:textId="77777777" w:rsidR="0049465C" w:rsidRPr="005A2DC1" w:rsidRDefault="0049465C" w:rsidP="0049465C">
      <w:pPr>
        <w:spacing w:after="0" w:line="240" w:lineRule="auto"/>
        <w:jc w:val="both"/>
        <w:rPr>
          <w:rFonts w:ascii="Trebuchet MS" w:hAnsi="Trebuchet MS"/>
          <w:sz w:val="20"/>
          <w:szCs w:val="20"/>
        </w:rPr>
      </w:pPr>
    </w:p>
    <w:p w14:paraId="70FDC441"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525EED3F" w14:textId="77777777" w:rsidR="0049465C" w:rsidRPr="008878FA" w:rsidRDefault="0049465C" w:rsidP="0049465C">
      <w:pPr>
        <w:spacing w:after="0" w:line="240" w:lineRule="auto"/>
        <w:jc w:val="both"/>
        <w:rPr>
          <w:rFonts w:ascii="Trebuchet MS" w:hAnsi="Trebuchet MS"/>
          <w:sz w:val="20"/>
          <w:szCs w:val="20"/>
        </w:rPr>
      </w:pPr>
    </w:p>
    <w:p w14:paraId="1EC058A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54153B62" w14:textId="77777777" w:rsidR="0049465C" w:rsidRDefault="0049465C" w:rsidP="0049465C">
      <w:pPr>
        <w:spacing w:after="0" w:line="240" w:lineRule="auto"/>
        <w:jc w:val="both"/>
        <w:rPr>
          <w:rFonts w:ascii="Trebuchet MS" w:hAnsi="Trebuchet MS"/>
          <w:sz w:val="20"/>
          <w:szCs w:val="20"/>
        </w:rPr>
      </w:pPr>
    </w:p>
    <w:p w14:paraId="4D93F4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40082039" w14:textId="77777777" w:rsidR="0049465C" w:rsidRPr="008878FA" w:rsidRDefault="0049465C" w:rsidP="0049465C">
      <w:pPr>
        <w:spacing w:after="0" w:line="240" w:lineRule="auto"/>
        <w:jc w:val="both"/>
        <w:rPr>
          <w:rFonts w:ascii="Trebuchet MS" w:hAnsi="Trebuchet MS"/>
          <w:sz w:val="20"/>
          <w:szCs w:val="20"/>
        </w:rPr>
      </w:pPr>
    </w:p>
    <w:p w14:paraId="12C90CF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602320C" w14:textId="77777777" w:rsidR="0049465C" w:rsidRDefault="0049465C" w:rsidP="0049465C">
      <w:pPr>
        <w:jc w:val="both"/>
        <w:rPr>
          <w:rFonts w:ascii="Trebuchet MS" w:hAnsi="Trebuchet MS" w:cs="Arial"/>
          <w:sz w:val="20"/>
          <w:szCs w:val="20"/>
        </w:rPr>
      </w:pPr>
    </w:p>
    <w:p w14:paraId="5D46CE8C"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006EC90C" w14:textId="77777777" w:rsidR="0049465C" w:rsidRPr="008878FA" w:rsidRDefault="0049465C" w:rsidP="0049465C">
      <w:pPr>
        <w:spacing w:after="0" w:line="240" w:lineRule="auto"/>
        <w:jc w:val="both"/>
        <w:rPr>
          <w:rFonts w:ascii="Trebuchet MS" w:hAnsi="Trebuchet MS"/>
          <w:sz w:val="20"/>
          <w:szCs w:val="20"/>
        </w:rPr>
      </w:pPr>
    </w:p>
    <w:p w14:paraId="3523925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0B14023" w14:textId="77777777" w:rsidR="0049465C" w:rsidRDefault="0049465C" w:rsidP="0049465C">
      <w:pPr>
        <w:jc w:val="both"/>
        <w:rPr>
          <w:rFonts w:ascii="Trebuchet MS" w:hAnsi="Trebuchet MS" w:cs="Arial"/>
          <w:sz w:val="20"/>
          <w:szCs w:val="20"/>
        </w:rPr>
      </w:pPr>
    </w:p>
    <w:p w14:paraId="1AF656B9"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769A46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2AD5C80C" w14:textId="77777777" w:rsidR="0049465C" w:rsidRPr="008878FA" w:rsidRDefault="0049465C" w:rsidP="0049465C">
      <w:pPr>
        <w:spacing w:after="0" w:line="240" w:lineRule="auto"/>
        <w:jc w:val="both"/>
        <w:rPr>
          <w:rFonts w:ascii="Trebuchet MS" w:hAnsi="Trebuchet MS"/>
          <w:sz w:val="20"/>
          <w:szCs w:val="20"/>
        </w:rPr>
      </w:pPr>
    </w:p>
    <w:p w14:paraId="6668398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47736FE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329870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D1122A3" w14:textId="77777777" w:rsidR="0049465C" w:rsidRPr="008878FA" w:rsidRDefault="0049465C" w:rsidP="0049465C">
      <w:pPr>
        <w:spacing w:after="0" w:line="240" w:lineRule="auto"/>
        <w:jc w:val="both"/>
        <w:rPr>
          <w:rFonts w:ascii="Trebuchet MS" w:hAnsi="Trebuchet MS"/>
          <w:sz w:val="20"/>
          <w:szCs w:val="20"/>
        </w:rPr>
      </w:pPr>
    </w:p>
    <w:p w14:paraId="356A797E"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50C3AC0B"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7DABF098" w14:textId="77777777" w:rsidR="007D1E76" w:rsidRPr="00E74967" w:rsidRDefault="007D1E76" w:rsidP="00CB41C4">
      <w:pPr>
        <w:tabs>
          <w:tab w:val="left" w:leader="underscore" w:pos="9639"/>
        </w:tabs>
        <w:spacing w:after="0" w:line="240" w:lineRule="auto"/>
        <w:jc w:val="both"/>
        <w:rPr>
          <w:rFonts w:cs="Calibri"/>
        </w:rPr>
      </w:pPr>
    </w:p>
    <w:p w14:paraId="4839E5D0" w14:textId="77777777" w:rsidR="007D1E76" w:rsidRPr="00E74967" w:rsidRDefault="007D1E76" w:rsidP="00CB41C4">
      <w:pPr>
        <w:tabs>
          <w:tab w:val="left" w:leader="underscore" w:pos="9639"/>
        </w:tabs>
        <w:spacing w:after="0" w:line="240" w:lineRule="auto"/>
        <w:jc w:val="both"/>
        <w:rPr>
          <w:rFonts w:cs="Calibri"/>
        </w:rPr>
      </w:pPr>
    </w:p>
    <w:p w14:paraId="70323A4C"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51F3585D" w14:textId="77777777" w:rsidR="0049465C" w:rsidRPr="008878FA" w:rsidRDefault="0049465C" w:rsidP="0049465C">
      <w:pPr>
        <w:spacing w:after="0" w:line="240" w:lineRule="auto"/>
        <w:jc w:val="both"/>
        <w:rPr>
          <w:rFonts w:ascii="Trebuchet MS" w:hAnsi="Trebuchet MS"/>
          <w:sz w:val="20"/>
          <w:szCs w:val="20"/>
        </w:rPr>
      </w:pPr>
    </w:p>
    <w:p w14:paraId="7F91D13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1813CDE6" w14:textId="77777777" w:rsidR="0049465C" w:rsidRPr="008878FA" w:rsidRDefault="0049465C" w:rsidP="0049465C">
      <w:pPr>
        <w:spacing w:after="0" w:line="240" w:lineRule="auto"/>
        <w:jc w:val="both"/>
        <w:rPr>
          <w:rFonts w:ascii="Trebuchet MS" w:hAnsi="Trebuchet MS"/>
          <w:sz w:val="20"/>
          <w:szCs w:val="20"/>
        </w:rPr>
      </w:pPr>
    </w:p>
    <w:p w14:paraId="4ACEBCE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7831EDA4" w14:textId="77777777" w:rsidR="0049465C" w:rsidRPr="008878FA" w:rsidRDefault="0049465C" w:rsidP="0049465C">
      <w:pPr>
        <w:spacing w:after="0" w:line="240" w:lineRule="auto"/>
        <w:jc w:val="both"/>
        <w:rPr>
          <w:rFonts w:ascii="Trebuchet MS" w:hAnsi="Trebuchet MS"/>
          <w:sz w:val="20"/>
          <w:szCs w:val="20"/>
        </w:rPr>
      </w:pPr>
    </w:p>
    <w:p w14:paraId="2E7692D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15ECB32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34A19F9B" w14:textId="77777777" w:rsidR="0049465C" w:rsidRPr="008878FA" w:rsidRDefault="0049465C" w:rsidP="0049465C">
      <w:pPr>
        <w:spacing w:after="0" w:line="240" w:lineRule="auto"/>
        <w:jc w:val="both"/>
        <w:rPr>
          <w:rFonts w:ascii="Trebuchet MS" w:hAnsi="Trebuchet MS"/>
          <w:sz w:val="20"/>
          <w:szCs w:val="20"/>
        </w:rPr>
      </w:pPr>
    </w:p>
    <w:p w14:paraId="3774DF3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19A51083" w14:textId="77777777" w:rsidR="0049465C" w:rsidRDefault="0049465C" w:rsidP="0049465C">
      <w:pPr>
        <w:jc w:val="both"/>
        <w:rPr>
          <w:rFonts w:ascii="Trebuchet MS" w:hAnsi="Trebuchet MS" w:cs="Arial"/>
          <w:sz w:val="20"/>
          <w:szCs w:val="20"/>
        </w:rPr>
      </w:pPr>
    </w:p>
    <w:p w14:paraId="6C7733E6"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340EF53E" w14:textId="77777777" w:rsidR="0049465C" w:rsidRPr="008878FA" w:rsidRDefault="0049465C" w:rsidP="0049465C">
      <w:pPr>
        <w:spacing w:after="0" w:line="240" w:lineRule="auto"/>
        <w:jc w:val="both"/>
        <w:rPr>
          <w:rFonts w:ascii="Trebuchet MS" w:hAnsi="Trebuchet MS"/>
          <w:sz w:val="20"/>
          <w:szCs w:val="20"/>
        </w:rPr>
      </w:pPr>
    </w:p>
    <w:p w14:paraId="3CE31A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6F7F4514"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0089FBA4" w14:textId="77777777" w:rsidR="0049465C" w:rsidRPr="008878FA" w:rsidRDefault="0049465C" w:rsidP="0049465C">
      <w:pPr>
        <w:spacing w:after="0" w:line="240" w:lineRule="auto"/>
        <w:jc w:val="both"/>
        <w:rPr>
          <w:rFonts w:ascii="Trebuchet MS" w:hAnsi="Trebuchet MS"/>
          <w:sz w:val="20"/>
          <w:szCs w:val="20"/>
        </w:rPr>
      </w:pPr>
    </w:p>
    <w:p w14:paraId="4887814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177F55D" w14:textId="77777777" w:rsidR="0049465C" w:rsidRDefault="0049465C" w:rsidP="0049465C">
      <w:pPr>
        <w:tabs>
          <w:tab w:val="num" w:pos="1701"/>
        </w:tabs>
        <w:jc w:val="both"/>
        <w:rPr>
          <w:rFonts w:ascii="Trebuchet MS" w:hAnsi="Trebuchet MS" w:cs="Arial"/>
          <w:sz w:val="20"/>
          <w:szCs w:val="20"/>
        </w:rPr>
      </w:pPr>
    </w:p>
    <w:p w14:paraId="420CAAEE"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7B064480"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3A7ECCC0"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2D81AB1B"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628DFDF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7C5551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7023F0F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2DDF20C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3FA0474"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0989C7E3"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w:t>
      </w:r>
      <w:r w:rsidR="00100F14">
        <w:rPr>
          <w:rFonts w:ascii="Trebuchet MS" w:hAnsi="Trebuchet MS" w:cs="Arial"/>
          <w:sz w:val="20"/>
          <w:szCs w:val="20"/>
        </w:rPr>
        <w:lastRenderedPageBreak/>
        <w:t>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05C5F89B" w14:textId="77777777" w:rsidR="00F72D02" w:rsidRDefault="00F72D02" w:rsidP="0049465C">
      <w:pPr>
        <w:tabs>
          <w:tab w:val="num" w:pos="1701"/>
        </w:tabs>
        <w:jc w:val="both"/>
        <w:rPr>
          <w:rFonts w:ascii="Trebuchet MS" w:hAnsi="Trebuchet MS" w:cs="Arial"/>
          <w:sz w:val="20"/>
          <w:szCs w:val="20"/>
        </w:rPr>
      </w:pPr>
    </w:p>
    <w:p w14:paraId="16DEFB13"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0352B430"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4983B008"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75654"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5E179388"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2947442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0504C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47948F3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43262CD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E0DE90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6B1841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30A9ECE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92376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6520D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029354E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1F29CD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537675D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2D21AB"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37191B7"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6EFD5E0"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363EC8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CB54A"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8F39339"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3BF9D87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7552B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7EF2998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580699A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AF14AA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15C8EBB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D4271EC"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0425A6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5C9362C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58F5A588"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919329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76B6AC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62DC39E1"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35A56706" w14:textId="0C0E8382"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256E1571"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0B3955BD"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19AE44A"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1E34C04E" w14:textId="23D7B9A4"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68C22682" w14:textId="77777777" w:rsidR="0049465C" w:rsidRPr="008878FA" w:rsidRDefault="0049465C" w:rsidP="0049465C">
      <w:pPr>
        <w:spacing w:after="0" w:line="240" w:lineRule="auto"/>
        <w:jc w:val="both"/>
        <w:rPr>
          <w:rFonts w:ascii="Trebuchet MS" w:hAnsi="Trebuchet MS"/>
          <w:sz w:val="20"/>
          <w:szCs w:val="20"/>
        </w:rPr>
      </w:pPr>
    </w:p>
    <w:p w14:paraId="7B4C2F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34CA1F40"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91DB609"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13DD64AB" w14:textId="77777777" w:rsidR="00146ED1" w:rsidRPr="00146ED1" w:rsidRDefault="00146ED1" w:rsidP="0049465C">
      <w:pPr>
        <w:spacing w:after="0" w:line="240" w:lineRule="auto"/>
        <w:jc w:val="both"/>
        <w:rPr>
          <w:rFonts w:ascii="Trebuchet MS" w:hAnsi="Trebuchet MS"/>
          <w:sz w:val="20"/>
          <w:szCs w:val="20"/>
        </w:rPr>
      </w:pPr>
    </w:p>
    <w:p w14:paraId="2F6BAF17"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5128DD52"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27BF7612"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lastRenderedPageBreak/>
        <w:t>j)</w:t>
      </w:r>
      <w:r w:rsidRPr="008878FA">
        <w:rPr>
          <w:rFonts w:ascii="Trebuchet MS" w:hAnsi="Trebuchet MS"/>
          <w:sz w:val="20"/>
          <w:szCs w:val="20"/>
        </w:rPr>
        <w:t xml:space="preserve"> Depuración y cancelación de saldos:</w:t>
      </w:r>
    </w:p>
    <w:p w14:paraId="77215DDD"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561AD282" w14:textId="77777777" w:rsidR="007D1E76" w:rsidRPr="00E74967" w:rsidRDefault="007D1E76" w:rsidP="00CB41C4">
      <w:pPr>
        <w:tabs>
          <w:tab w:val="left" w:leader="underscore" w:pos="9639"/>
        </w:tabs>
        <w:spacing w:after="0" w:line="240" w:lineRule="auto"/>
        <w:jc w:val="both"/>
        <w:rPr>
          <w:rFonts w:cs="Calibri"/>
        </w:rPr>
      </w:pPr>
    </w:p>
    <w:p w14:paraId="5E0A9C5E" w14:textId="77777777"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81DA581" w14:textId="77777777" w:rsidR="007D1E76" w:rsidRPr="00E74967" w:rsidRDefault="007D1E76" w:rsidP="00CB41C4">
      <w:pPr>
        <w:tabs>
          <w:tab w:val="left" w:leader="underscore" w:pos="9639"/>
        </w:tabs>
        <w:spacing w:after="0" w:line="240" w:lineRule="auto"/>
        <w:jc w:val="both"/>
        <w:rPr>
          <w:rFonts w:cs="Calibri"/>
        </w:rPr>
      </w:pPr>
    </w:p>
    <w:p w14:paraId="04631A29"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68EF57A1" w14:textId="77777777" w:rsidR="003B6AE8" w:rsidRDefault="003B6AE8" w:rsidP="003B6AE8">
      <w:pPr>
        <w:spacing w:after="0" w:line="240" w:lineRule="auto"/>
        <w:jc w:val="both"/>
        <w:rPr>
          <w:rFonts w:ascii="Trebuchet MS" w:hAnsi="Trebuchet MS"/>
          <w:sz w:val="20"/>
          <w:szCs w:val="20"/>
        </w:rPr>
      </w:pPr>
    </w:p>
    <w:p w14:paraId="4101B94B"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7A2E4B1C"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7CAB543"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45B5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B3127A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14:paraId="0E2E4BA1"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698C0C1"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14:paraId="1D2777DE"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0EDFAD88"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21181A02"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34AA933F"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14:paraId="3611057C"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0C4009"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F0178E0" w14:textId="77777777" w:rsidR="003B6AE8" w:rsidRDefault="003B6AE8" w:rsidP="003B6AE8">
      <w:pPr>
        <w:jc w:val="both"/>
        <w:rPr>
          <w:rFonts w:ascii="Trebuchet MS" w:hAnsi="Trebuchet MS" w:cs="Arial"/>
          <w:sz w:val="20"/>
          <w:szCs w:val="20"/>
        </w:rPr>
      </w:pPr>
    </w:p>
    <w:p w14:paraId="568720E2"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19057371" w14:textId="77777777" w:rsidR="003B6AE8" w:rsidRPr="00FD2D03" w:rsidRDefault="003B6AE8" w:rsidP="003B6AE8">
      <w:pPr>
        <w:spacing w:after="0" w:line="240" w:lineRule="auto"/>
        <w:jc w:val="both"/>
        <w:rPr>
          <w:rFonts w:ascii="Trebuchet MS" w:hAnsi="Trebuchet MS"/>
          <w:sz w:val="20"/>
          <w:szCs w:val="20"/>
        </w:rPr>
      </w:pPr>
    </w:p>
    <w:p w14:paraId="012A7AC4"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55B453F8"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0BD647BF"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0635BA"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4347DD5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70311FF"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tr w:rsidR="00140E5B" w:rsidRPr="00FD2D03" w14:paraId="654BD6DA"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368B1147"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10228EB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18C8AAC4" w14:textId="12015756" w:rsidR="00140E5B" w:rsidRPr="00FD2D03" w:rsidRDefault="00140E5B" w:rsidP="00140E5B">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FC3159" w:rsidRPr="00FC3159">
              <w:rPr>
                <w:rFonts w:ascii="Trebuchet MS" w:eastAsia="Times New Roman" w:hAnsi="Trebuchet MS" w:cs="Calibri"/>
                <w:b/>
                <w:bCs/>
                <w:color w:val="000000"/>
                <w:sz w:val="20"/>
                <w:szCs w:val="20"/>
                <w:lang w:eastAsia="es-MX"/>
              </w:rPr>
              <w:t>29,903.18</w:t>
            </w:r>
          </w:p>
        </w:tc>
      </w:tr>
      <w:tr w:rsidR="00140E5B" w:rsidRPr="00FD2D03" w14:paraId="52C75887"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297E452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69480601"/>
            <w:bookmarkEnd w:id="6"/>
            <w:r w:rsidRPr="00FD2D03">
              <w:rPr>
                <w:rFonts w:ascii="Trebuchet MS" w:eastAsia="Times New Roman" w:hAnsi="Trebuchet MS" w:cs="Calibri"/>
                <w:color w:val="000000"/>
                <w:sz w:val="20"/>
                <w:szCs w:val="20"/>
                <w:lang w:eastAsia="es-MX"/>
              </w:rPr>
              <w:t>1112101080</w:t>
            </w:r>
            <w:bookmarkEnd w:id="7"/>
          </w:p>
        </w:tc>
        <w:tc>
          <w:tcPr>
            <w:tcW w:w="1600" w:type="dxa"/>
            <w:tcBorders>
              <w:top w:val="nil"/>
              <w:left w:val="nil"/>
              <w:bottom w:val="single" w:sz="8" w:space="0" w:color="auto"/>
              <w:right w:val="single" w:sz="8" w:space="0" w:color="auto"/>
            </w:tcBorders>
            <w:shd w:val="clear" w:color="auto" w:fill="auto"/>
            <w:vAlign w:val="center"/>
            <w:hideMark/>
          </w:tcPr>
          <w:p w14:paraId="6C2EFE5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8" w:name="_Hlk69480609"/>
            <w:r w:rsidRPr="00FD2D03">
              <w:rPr>
                <w:rFonts w:ascii="Trebuchet MS" w:eastAsia="Times New Roman" w:hAnsi="Trebuchet MS" w:cs="Calibri"/>
                <w:color w:val="000000"/>
                <w:sz w:val="20"/>
                <w:szCs w:val="20"/>
                <w:lang w:eastAsia="es-MX"/>
              </w:rPr>
              <w:t>MONEX 0003063815</w:t>
            </w:r>
            <w:bookmarkEnd w:id="8"/>
          </w:p>
        </w:tc>
        <w:tc>
          <w:tcPr>
            <w:tcW w:w="1880" w:type="dxa"/>
            <w:tcBorders>
              <w:top w:val="nil"/>
              <w:left w:val="nil"/>
              <w:bottom w:val="single" w:sz="8" w:space="0" w:color="auto"/>
              <w:right w:val="single" w:sz="8" w:space="0" w:color="auto"/>
            </w:tcBorders>
            <w:shd w:val="clear" w:color="000000" w:fill="FFFFFF"/>
            <w:vAlign w:val="center"/>
            <w:hideMark/>
          </w:tcPr>
          <w:p w14:paraId="61DF68E1" w14:textId="27C4267D" w:rsidR="00140E5B" w:rsidRPr="00435B86" w:rsidRDefault="00460DA3" w:rsidP="00140E5B">
            <w:pPr>
              <w:spacing w:after="0" w:line="240" w:lineRule="auto"/>
              <w:jc w:val="right"/>
              <w:rPr>
                <w:rFonts w:ascii="Trebuchet MS" w:eastAsia="Times New Roman" w:hAnsi="Trebuchet MS" w:cs="Calibri"/>
                <w:b/>
                <w:bCs/>
                <w:color w:val="000000"/>
                <w:sz w:val="20"/>
                <w:szCs w:val="20"/>
                <w:highlight w:val="yellow"/>
                <w:lang w:eastAsia="es-MX"/>
              </w:rPr>
            </w:pPr>
            <w:r w:rsidRPr="00847A66">
              <w:rPr>
                <w:rFonts w:ascii="Trebuchet MS" w:eastAsia="Times New Roman" w:hAnsi="Trebuchet MS" w:cs="Calibri"/>
                <w:b/>
                <w:bCs/>
                <w:color w:val="000000"/>
                <w:sz w:val="20"/>
                <w:szCs w:val="20"/>
                <w:lang w:eastAsia="es-MX"/>
              </w:rPr>
              <w:t>US</w:t>
            </w:r>
            <w:r w:rsidR="003324BB" w:rsidRPr="003816B4">
              <w:rPr>
                <w:rFonts w:ascii="Trebuchet MS" w:eastAsia="Times New Roman" w:hAnsi="Trebuchet MS" w:cs="Calibri"/>
                <w:b/>
                <w:bCs/>
                <w:color w:val="000000"/>
                <w:sz w:val="20"/>
                <w:szCs w:val="20"/>
                <w:lang w:eastAsia="es-MX"/>
              </w:rPr>
              <w:t xml:space="preserve"> </w:t>
            </w:r>
            <w:r w:rsidR="0037113F" w:rsidRPr="0037113F">
              <w:rPr>
                <w:rFonts w:ascii="Trebuchet MS" w:eastAsia="Times New Roman" w:hAnsi="Trebuchet MS" w:cs="Calibri"/>
                <w:b/>
                <w:bCs/>
                <w:color w:val="000000"/>
                <w:sz w:val="20"/>
                <w:szCs w:val="20"/>
                <w:lang w:eastAsia="es-MX"/>
              </w:rPr>
              <w:t>830,456.83</w:t>
            </w:r>
          </w:p>
        </w:tc>
      </w:tr>
    </w:tbl>
    <w:p w14:paraId="449C1640"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330E5B9C"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48DD38A7" w14:textId="77777777" w:rsidR="003B6AE8" w:rsidRPr="00FD2D03" w:rsidRDefault="003B6AE8" w:rsidP="003B6AE8">
      <w:pPr>
        <w:jc w:val="both"/>
        <w:rPr>
          <w:rFonts w:ascii="Trebuchet MS" w:hAnsi="Trebuchet MS" w:cs="Arial"/>
          <w:sz w:val="20"/>
          <w:szCs w:val="20"/>
        </w:rPr>
      </w:pPr>
    </w:p>
    <w:p w14:paraId="69D3355C" w14:textId="0A912BAC"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37113F" w:rsidRPr="0037113F">
        <w:rPr>
          <w:rFonts w:ascii="Trebuchet MS" w:hAnsi="Trebuchet MS" w:cs="Arial"/>
          <w:b/>
          <w:sz w:val="20"/>
          <w:szCs w:val="20"/>
        </w:rPr>
        <w:t>19.8157</w:t>
      </w:r>
    </w:p>
    <w:p w14:paraId="66B2EA54" w14:textId="77777777" w:rsidR="003B6AE8" w:rsidRPr="00FD2D03" w:rsidRDefault="003B6AE8" w:rsidP="003B6AE8">
      <w:pPr>
        <w:spacing w:after="0" w:line="240" w:lineRule="auto"/>
        <w:jc w:val="both"/>
        <w:rPr>
          <w:rFonts w:ascii="Trebuchet MS" w:hAnsi="Trebuchet MS"/>
          <w:sz w:val="20"/>
          <w:szCs w:val="20"/>
        </w:rPr>
      </w:pPr>
    </w:p>
    <w:p w14:paraId="78D48588"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0C13BDA0"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7FBFEF85"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E697B"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D01830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E0C7A6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140E5B" w:rsidRPr="00FD2D03" w14:paraId="28CF4321"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54AD1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880207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66982E4" w14:textId="20CC95D5" w:rsidR="00140E5B" w:rsidRPr="00435B86" w:rsidRDefault="00435B86" w:rsidP="003324BB">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w:t>
            </w:r>
            <w:r w:rsidR="00FC3159" w:rsidRPr="00FC3159">
              <w:rPr>
                <w:rFonts w:ascii="Trebuchet MS" w:eastAsia="Times New Roman" w:hAnsi="Trebuchet MS" w:cs="Calibri"/>
                <w:b/>
                <w:bCs/>
                <w:color w:val="000000"/>
                <w:sz w:val="20"/>
                <w:szCs w:val="20"/>
                <w:lang w:eastAsia="es-MX"/>
              </w:rPr>
              <w:t>592,552.44</w:t>
            </w:r>
          </w:p>
        </w:tc>
      </w:tr>
      <w:tr w:rsidR="00140E5B" w:rsidRPr="00FD2D03" w14:paraId="52A57BDC" w14:textId="77777777" w:rsidTr="001D7550">
        <w:trPr>
          <w:trHeight w:val="116"/>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24F00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14:paraId="1BC50C9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9" w:name="_Hlk62565740"/>
            <w:r w:rsidRPr="00FD2D03">
              <w:rPr>
                <w:rFonts w:ascii="Trebuchet MS" w:eastAsia="Times New Roman" w:hAnsi="Trebuchet MS" w:cs="Calibri"/>
                <w:color w:val="000000"/>
                <w:sz w:val="20"/>
                <w:szCs w:val="20"/>
                <w:lang w:eastAsia="es-MX"/>
              </w:rPr>
              <w:t>MONEX 0003063815</w:t>
            </w:r>
            <w:bookmarkEnd w:id="9"/>
          </w:p>
        </w:tc>
        <w:tc>
          <w:tcPr>
            <w:tcW w:w="1820" w:type="dxa"/>
            <w:tcBorders>
              <w:top w:val="nil"/>
              <w:left w:val="nil"/>
              <w:bottom w:val="single" w:sz="8" w:space="0" w:color="auto"/>
              <w:right w:val="single" w:sz="8" w:space="0" w:color="auto"/>
            </w:tcBorders>
            <w:shd w:val="clear" w:color="auto" w:fill="auto"/>
            <w:vAlign w:val="center"/>
            <w:hideMark/>
          </w:tcPr>
          <w:p w14:paraId="717FE5F2" w14:textId="1E32E563" w:rsidR="00140E5B" w:rsidRPr="00435B86" w:rsidRDefault="00040F28" w:rsidP="003324BB">
            <w:pPr>
              <w:spacing w:after="0" w:line="240" w:lineRule="auto"/>
              <w:jc w:val="right"/>
              <w:rPr>
                <w:rFonts w:ascii="Trebuchet MS" w:eastAsia="Times New Roman" w:hAnsi="Trebuchet MS" w:cs="Calibri"/>
                <w:b/>
                <w:bCs/>
                <w:color w:val="000000"/>
                <w:sz w:val="20"/>
                <w:szCs w:val="20"/>
                <w:highlight w:val="yellow"/>
                <w:lang w:eastAsia="es-MX"/>
              </w:rPr>
            </w:pPr>
            <w:r w:rsidRPr="00847A66">
              <w:rPr>
                <w:rFonts w:ascii="Trebuchet MS" w:eastAsia="Times New Roman" w:hAnsi="Trebuchet MS" w:cs="Calibri"/>
                <w:b/>
                <w:bCs/>
                <w:color w:val="000000"/>
                <w:sz w:val="20"/>
                <w:szCs w:val="20"/>
                <w:lang w:eastAsia="es-MX"/>
              </w:rPr>
              <w:t>$</w:t>
            </w:r>
            <w:r w:rsidR="0037113F" w:rsidRPr="0037113F">
              <w:rPr>
                <w:rFonts w:ascii="Trebuchet MS" w:eastAsia="Times New Roman" w:hAnsi="Trebuchet MS" w:cs="Calibri"/>
                <w:b/>
                <w:bCs/>
                <w:color w:val="000000"/>
                <w:sz w:val="20"/>
                <w:szCs w:val="20"/>
                <w:lang w:eastAsia="es-MX"/>
              </w:rPr>
              <w:t>16,456,083.41</w:t>
            </w:r>
          </w:p>
        </w:tc>
      </w:tr>
    </w:tbl>
    <w:p w14:paraId="318D860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D5AC176" w14:textId="77777777" w:rsidR="007D1E76" w:rsidRPr="000C3365" w:rsidRDefault="007D1E76" w:rsidP="000C3365">
      <w:pPr>
        <w:pStyle w:val="Ttulo2"/>
        <w:rPr>
          <w:rFonts w:asciiTheme="minorHAnsi" w:hAnsiTheme="minorHAnsi" w:cstheme="minorHAnsi"/>
          <w:b/>
          <w:color w:val="auto"/>
          <w:sz w:val="22"/>
        </w:rPr>
      </w:pPr>
      <w:bookmarkStart w:id="10"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10"/>
    </w:p>
    <w:p w14:paraId="3DBC9154" w14:textId="77777777" w:rsidR="007D1E76" w:rsidRPr="00E74967" w:rsidRDefault="007D1E76" w:rsidP="00CB41C4">
      <w:pPr>
        <w:tabs>
          <w:tab w:val="left" w:leader="underscore" w:pos="9639"/>
        </w:tabs>
        <w:spacing w:after="0" w:line="240" w:lineRule="auto"/>
        <w:jc w:val="both"/>
        <w:rPr>
          <w:rFonts w:cs="Calibri"/>
        </w:rPr>
      </w:pPr>
    </w:p>
    <w:p w14:paraId="062005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1583C6BB" w14:textId="77777777" w:rsidR="003B6AE8" w:rsidRPr="008878FA" w:rsidRDefault="003B6AE8" w:rsidP="003B6AE8">
      <w:pPr>
        <w:spacing w:after="0" w:line="240" w:lineRule="auto"/>
        <w:jc w:val="both"/>
        <w:rPr>
          <w:rFonts w:ascii="Trebuchet MS" w:hAnsi="Trebuchet MS"/>
          <w:sz w:val="20"/>
          <w:szCs w:val="20"/>
        </w:rPr>
      </w:pPr>
    </w:p>
    <w:p w14:paraId="7B6BA8F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C3E9619" w14:textId="6E47398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79899C50"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3811331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6E1FCD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6AE2EEF"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34B445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38F7164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F3E99AF"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0F9A994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002CF2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A1F7C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4EC0C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0EB082D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498AB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5D2D82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6D2E20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73367AA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0C0CAE3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5D84418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39C8286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4BBDAA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65C16F7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48DD5CA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F375BC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6137480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C396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406A8E8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52EA702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6DCD72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4489399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0D3830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6D572D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1A6DFED8"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5F72DF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54F01B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376E77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8D660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349017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2C9A9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D68AB0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55C495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399AC1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796C10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1D31A4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5AA34A0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84805E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0762AB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05119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5251E27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A6A3A3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E45B43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184C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54B4B2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48E0B9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85EF76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8E6485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32033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56EDB7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510E71D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571D8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1B8B3E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47D76DB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E997AF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6328780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2328D2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585E5D5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72FF80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64BC0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ADBF01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92C66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73D2D11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79AC072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79ADB4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E3B75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2976BE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612DE4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CE5F2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85C5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AA73FE7"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4FD67B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38817D0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147E5C6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4B552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2E0DFF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6A1D036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18122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23DED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ABD89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31A2399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788D4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73D35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DC3D8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CD696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0F69A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6E85A05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631238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62C064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31FA63C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DD3B9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764383E" w14:textId="77777777" w:rsidR="003B6AE8" w:rsidRPr="008878FA" w:rsidRDefault="003B6AE8" w:rsidP="003B6AE8">
      <w:pPr>
        <w:spacing w:after="0" w:line="240" w:lineRule="auto"/>
        <w:jc w:val="both"/>
        <w:rPr>
          <w:rFonts w:ascii="Trebuchet MS" w:hAnsi="Trebuchet MS"/>
          <w:sz w:val="20"/>
          <w:szCs w:val="20"/>
        </w:rPr>
      </w:pPr>
    </w:p>
    <w:p w14:paraId="7ACE5CE4"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59CE83C6" w14:textId="77777777" w:rsidR="003B6AE8" w:rsidRPr="008878FA" w:rsidRDefault="003B6AE8" w:rsidP="003B6AE8">
      <w:pPr>
        <w:spacing w:after="0" w:line="240" w:lineRule="auto"/>
        <w:jc w:val="both"/>
        <w:rPr>
          <w:rFonts w:ascii="Trebuchet MS" w:hAnsi="Trebuchet MS"/>
          <w:sz w:val="20"/>
          <w:szCs w:val="20"/>
        </w:rPr>
      </w:pPr>
    </w:p>
    <w:p w14:paraId="62A220F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00D77C0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lastRenderedPageBreak/>
        <w:t>No aplica</w:t>
      </w:r>
    </w:p>
    <w:p w14:paraId="65BCBE6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14E23EC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69036A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258DB25C"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4800396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BA71748"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6435107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2C5102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D0A669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530F6D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1F51AD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03143049" w14:textId="77777777" w:rsidR="003B6AE8" w:rsidRPr="008878FA" w:rsidRDefault="003B6AE8" w:rsidP="003B6AE8">
      <w:pPr>
        <w:spacing w:after="0" w:line="240" w:lineRule="auto"/>
        <w:jc w:val="both"/>
        <w:rPr>
          <w:rFonts w:ascii="Trebuchet MS" w:hAnsi="Trebuchet MS"/>
          <w:sz w:val="20"/>
          <w:szCs w:val="20"/>
        </w:rPr>
      </w:pPr>
    </w:p>
    <w:p w14:paraId="388D0323"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5EBA88B1" w14:textId="77777777" w:rsidR="003B6AE8" w:rsidRDefault="003B6AE8" w:rsidP="001E43D4">
      <w:pPr>
        <w:spacing w:after="0" w:line="240" w:lineRule="auto"/>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2EF98FAE" w14:textId="77777777" w:rsidTr="003B6AE8">
        <w:trPr>
          <w:trHeight w:val="300"/>
        </w:trPr>
        <w:tc>
          <w:tcPr>
            <w:tcW w:w="2268" w:type="dxa"/>
            <w:shd w:val="clear" w:color="auto" w:fill="auto"/>
            <w:vAlign w:val="center"/>
            <w:hideMark/>
          </w:tcPr>
          <w:p w14:paraId="351AD24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6100ED4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7B9C1C60"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14:paraId="6776352E" w14:textId="77777777" w:rsidTr="00A67662">
        <w:trPr>
          <w:trHeight w:val="300"/>
        </w:trPr>
        <w:tc>
          <w:tcPr>
            <w:tcW w:w="2268" w:type="dxa"/>
            <w:shd w:val="clear" w:color="auto" w:fill="auto"/>
            <w:vAlign w:val="center"/>
            <w:hideMark/>
          </w:tcPr>
          <w:p w14:paraId="3709C2FB"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0C89D694"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1EF99282" w14:textId="6506C7B6" w:rsidR="003C0769" w:rsidRPr="00DD1818" w:rsidRDefault="00FC3159" w:rsidP="003C0769">
            <w:pPr>
              <w:spacing w:after="0" w:line="240" w:lineRule="auto"/>
              <w:jc w:val="right"/>
              <w:rPr>
                <w:rFonts w:ascii="Trebuchet MS" w:eastAsia="Times New Roman" w:hAnsi="Trebuchet MS"/>
                <w:color w:val="000000"/>
                <w:sz w:val="16"/>
                <w:szCs w:val="20"/>
                <w:highlight w:val="yellow"/>
                <w:lang w:eastAsia="es-MX"/>
              </w:rPr>
            </w:pPr>
            <w:r w:rsidRPr="00FC3159">
              <w:rPr>
                <w:rFonts w:ascii="Trebuchet MS" w:eastAsia="Times New Roman" w:hAnsi="Trebuchet MS"/>
                <w:color w:val="000000"/>
                <w:sz w:val="16"/>
                <w:szCs w:val="20"/>
                <w:lang w:eastAsia="es-MX"/>
              </w:rPr>
              <w:t>0</w:t>
            </w:r>
          </w:p>
        </w:tc>
      </w:tr>
    </w:tbl>
    <w:p w14:paraId="6CE28557" w14:textId="77777777" w:rsidR="003B6AE8" w:rsidRDefault="003B6AE8" w:rsidP="001E43D4">
      <w:pPr>
        <w:spacing w:after="0" w:line="240" w:lineRule="auto"/>
        <w:rPr>
          <w:rFonts w:ascii="Trebuchet MS" w:hAnsi="Trebuchet MS"/>
          <w:b/>
          <w:sz w:val="20"/>
          <w:szCs w:val="20"/>
        </w:rPr>
      </w:pPr>
    </w:p>
    <w:p w14:paraId="49223D9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41A17B62"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B073AE9"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0F6BF475" w14:textId="77777777" w:rsidR="008A5B97" w:rsidRDefault="008A5B97" w:rsidP="003B6AE8">
      <w:pPr>
        <w:spacing w:after="0" w:line="240" w:lineRule="auto"/>
        <w:jc w:val="both"/>
        <w:rPr>
          <w:rFonts w:ascii="Trebuchet MS" w:hAnsi="Trebuchet MS"/>
          <w:sz w:val="20"/>
          <w:szCs w:val="20"/>
        </w:rPr>
      </w:pPr>
    </w:p>
    <w:p w14:paraId="3B8DF110"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4F65D45E"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0F280477" w14:textId="77777777" w:rsidTr="00833382">
        <w:trPr>
          <w:trHeight w:val="300"/>
        </w:trPr>
        <w:tc>
          <w:tcPr>
            <w:tcW w:w="1701" w:type="dxa"/>
            <w:shd w:val="clear" w:color="auto" w:fill="auto"/>
            <w:vAlign w:val="center"/>
            <w:hideMark/>
          </w:tcPr>
          <w:p w14:paraId="10910706"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26C721B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4065F7B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22DE3B0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428BFAF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1D50A665" w14:textId="77777777" w:rsidTr="00833382">
        <w:trPr>
          <w:trHeight w:val="450"/>
        </w:trPr>
        <w:tc>
          <w:tcPr>
            <w:tcW w:w="1701" w:type="dxa"/>
            <w:shd w:val="clear" w:color="auto" w:fill="auto"/>
            <w:vAlign w:val="center"/>
            <w:hideMark/>
          </w:tcPr>
          <w:p w14:paraId="0D40133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6E2CD6A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932AF30"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3877900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DDDB409"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3A0C4476" w14:textId="77777777" w:rsidR="003B6AE8" w:rsidRPr="008878FA" w:rsidRDefault="003B6AE8" w:rsidP="003B6AE8">
      <w:pPr>
        <w:spacing w:after="0" w:line="240" w:lineRule="auto"/>
        <w:jc w:val="both"/>
        <w:rPr>
          <w:rFonts w:ascii="Trebuchet MS" w:hAnsi="Trebuchet MS"/>
          <w:sz w:val="20"/>
          <w:szCs w:val="20"/>
        </w:rPr>
      </w:pPr>
    </w:p>
    <w:p w14:paraId="03AB3F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5BB1F883"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7A8BAE67" w14:textId="77777777" w:rsidTr="00D06856">
        <w:trPr>
          <w:trHeight w:val="300"/>
        </w:trPr>
        <w:tc>
          <w:tcPr>
            <w:tcW w:w="1701" w:type="dxa"/>
            <w:shd w:val="clear" w:color="auto" w:fill="auto"/>
            <w:vAlign w:val="center"/>
            <w:hideMark/>
          </w:tcPr>
          <w:p w14:paraId="55978FD5"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3275BAD7"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98DA97D"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7AAC0303"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3FC8BCB"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1A649BEA" w14:textId="77777777" w:rsidTr="00D06856">
        <w:trPr>
          <w:trHeight w:val="600"/>
        </w:trPr>
        <w:tc>
          <w:tcPr>
            <w:tcW w:w="1701" w:type="dxa"/>
            <w:shd w:val="clear" w:color="auto" w:fill="auto"/>
            <w:vAlign w:val="center"/>
            <w:hideMark/>
          </w:tcPr>
          <w:p w14:paraId="5BAEA671"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56343529"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BE8464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08DBF5B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796E5F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289D3BD" w14:textId="77777777" w:rsidTr="00D06856">
        <w:trPr>
          <w:trHeight w:val="600"/>
        </w:trPr>
        <w:tc>
          <w:tcPr>
            <w:tcW w:w="1701" w:type="dxa"/>
            <w:shd w:val="clear" w:color="auto" w:fill="auto"/>
            <w:vAlign w:val="center"/>
          </w:tcPr>
          <w:p w14:paraId="20BE2C5D"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AB8A2C8"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849B8EF"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F48805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B70697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58BE8D9B" w14:textId="77777777" w:rsidTr="00D06856">
        <w:trPr>
          <w:trHeight w:val="600"/>
        </w:trPr>
        <w:tc>
          <w:tcPr>
            <w:tcW w:w="1701" w:type="dxa"/>
            <w:shd w:val="clear" w:color="auto" w:fill="auto"/>
            <w:vAlign w:val="center"/>
          </w:tcPr>
          <w:p w14:paraId="5C8CE2A2"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3DF4D0D"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489BAA4A"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16E0A61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434F6ABC"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5C248F03" w14:textId="77777777" w:rsidTr="00D06856">
        <w:trPr>
          <w:trHeight w:val="600"/>
        </w:trPr>
        <w:tc>
          <w:tcPr>
            <w:tcW w:w="1701" w:type="dxa"/>
            <w:shd w:val="clear" w:color="auto" w:fill="auto"/>
            <w:vAlign w:val="center"/>
          </w:tcPr>
          <w:p w14:paraId="214B4EF3"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6120795F"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5DD1B1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E64F23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1ACC59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18F548A" w14:textId="77777777" w:rsidR="00F72D02" w:rsidRDefault="00F72D02" w:rsidP="003B6AE8">
      <w:pPr>
        <w:spacing w:after="0" w:line="240" w:lineRule="auto"/>
        <w:jc w:val="both"/>
        <w:rPr>
          <w:rFonts w:ascii="Trebuchet MS" w:hAnsi="Trebuchet MS"/>
          <w:b/>
          <w:sz w:val="20"/>
          <w:szCs w:val="20"/>
        </w:rPr>
      </w:pPr>
    </w:p>
    <w:p w14:paraId="72AAF29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2328ACF9"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6A809B0E" w14:textId="77777777" w:rsidR="007D1E76" w:rsidRPr="00E74967" w:rsidRDefault="007D1E76" w:rsidP="00CB41C4">
      <w:pPr>
        <w:tabs>
          <w:tab w:val="left" w:leader="underscore" w:pos="9639"/>
        </w:tabs>
        <w:spacing w:after="0" w:line="240" w:lineRule="auto"/>
        <w:jc w:val="both"/>
        <w:rPr>
          <w:rFonts w:cs="Calibri"/>
        </w:rPr>
      </w:pPr>
    </w:p>
    <w:p w14:paraId="62C956AE" w14:textId="77777777" w:rsidR="007D1E76" w:rsidRPr="000C3365" w:rsidRDefault="007D1E76" w:rsidP="000C3365">
      <w:pPr>
        <w:pStyle w:val="Ttulo2"/>
        <w:rPr>
          <w:rFonts w:asciiTheme="minorHAnsi" w:hAnsiTheme="minorHAnsi" w:cstheme="minorHAnsi"/>
          <w:b/>
          <w:color w:val="auto"/>
          <w:sz w:val="22"/>
        </w:rPr>
      </w:pPr>
      <w:bookmarkStart w:id="11" w:name="_Toc512416737"/>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11"/>
    </w:p>
    <w:p w14:paraId="610F2EF2" w14:textId="77777777" w:rsidR="007D1E76" w:rsidRPr="00E74967" w:rsidRDefault="007D1E76" w:rsidP="00CB41C4">
      <w:pPr>
        <w:tabs>
          <w:tab w:val="left" w:leader="underscore" w:pos="9639"/>
        </w:tabs>
        <w:spacing w:after="0" w:line="240" w:lineRule="auto"/>
        <w:jc w:val="both"/>
        <w:rPr>
          <w:rFonts w:cs="Calibri"/>
        </w:rPr>
      </w:pPr>
    </w:p>
    <w:p w14:paraId="1E88DCA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3867566" w14:textId="77777777" w:rsidR="003B6AE8" w:rsidRPr="008878FA" w:rsidRDefault="003B6AE8" w:rsidP="003B6AE8">
      <w:pPr>
        <w:spacing w:after="0" w:line="240" w:lineRule="auto"/>
        <w:jc w:val="both"/>
        <w:rPr>
          <w:rFonts w:ascii="Trebuchet MS" w:hAnsi="Trebuchet MS"/>
          <w:sz w:val="20"/>
          <w:szCs w:val="20"/>
        </w:rPr>
      </w:pPr>
    </w:p>
    <w:p w14:paraId="5852856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70D46E7F"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209FF32D" w14:textId="77777777" w:rsidR="003B6AE8" w:rsidRPr="008878FA" w:rsidRDefault="003B6AE8" w:rsidP="003B6AE8">
      <w:pPr>
        <w:spacing w:after="0" w:line="240" w:lineRule="auto"/>
        <w:jc w:val="both"/>
        <w:rPr>
          <w:rFonts w:ascii="Trebuchet MS" w:hAnsi="Trebuchet MS"/>
          <w:sz w:val="20"/>
          <w:szCs w:val="20"/>
        </w:rPr>
      </w:pPr>
    </w:p>
    <w:p w14:paraId="3340D4B3"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592C9837"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3CD904DF" w14:textId="77777777" w:rsidTr="003B6AE8">
        <w:trPr>
          <w:trHeight w:val="300"/>
        </w:trPr>
        <w:tc>
          <w:tcPr>
            <w:tcW w:w="1578" w:type="dxa"/>
            <w:hideMark/>
          </w:tcPr>
          <w:p w14:paraId="1ED850DF"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6BA33B2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70210D39"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3F053D9E"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7199E4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213C57F1" w14:textId="77777777" w:rsidTr="000D7E4C">
        <w:trPr>
          <w:trHeight w:val="1020"/>
        </w:trPr>
        <w:tc>
          <w:tcPr>
            <w:tcW w:w="1578" w:type="dxa"/>
            <w:vAlign w:val="center"/>
            <w:hideMark/>
          </w:tcPr>
          <w:p w14:paraId="6C9CB002" w14:textId="77777777" w:rsidR="003B6AE8" w:rsidRPr="003F14A4" w:rsidRDefault="0042063B" w:rsidP="003B6AE8">
            <w:pPr>
              <w:spacing w:after="0" w:line="240" w:lineRule="auto"/>
              <w:jc w:val="both"/>
            </w:pPr>
            <w:r w:rsidRPr="003F14A4">
              <w:t>1213400010</w:t>
            </w:r>
          </w:p>
        </w:tc>
        <w:tc>
          <w:tcPr>
            <w:tcW w:w="2500" w:type="dxa"/>
            <w:vAlign w:val="center"/>
            <w:hideMark/>
          </w:tcPr>
          <w:p w14:paraId="521924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298BD2F1" w14:textId="4C2E51CA" w:rsidR="003B6AE8" w:rsidRPr="003F14A4" w:rsidRDefault="00720295" w:rsidP="003B6AE8">
            <w:pPr>
              <w:spacing w:after="0" w:line="240" w:lineRule="auto"/>
              <w:jc w:val="right"/>
            </w:pPr>
            <w:r w:rsidRPr="00720295">
              <w:t>23,826,989</w:t>
            </w:r>
          </w:p>
        </w:tc>
        <w:tc>
          <w:tcPr>
            <w:tcW w:w="1378" w:type="dxa"/>
            <w:vAlign w:val="center"/>
            <w:hideMark/>
          </w:tcPr>
          <w:p w14:paraId="74282FEE" w14:textId="77777777" w:rsidR="003B6AE8" w:rsidRPr="003F14A4" w:rsidRDefault="003B6AE8" w:rsidP="003B6AE8">
            <w:pPr>
              <w:spacing w:after="0" w:line="240" w:lineRule="auto"/>
              <w:jc w:val="both"/>
            </w:pPr>
            <w:r w:rsidRPr="003F14A4">
              <w:t>TERCEROS</w:t>
            </w:r>
          </w:p>
        </w:tc>
        <w:tc>
          <w:tcPr>
            <w:tcW w:w="2440" w:type="dxa"/>
            <w:vAlign w:val="center"/>
            <w:hideMark/>
          </w:tcPr>
          <w:p w14:paraId="44C3A92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18D6BD73" w14:textId="77777777" w:rsidTr="000D7E4C">
        <w:trPr>
          <w:trHeight w:val="1020"/>
        </w:trPr>
        <w:tc>
          <w:tcPr>
            <w:tcW w:w="1578" w:type="dxa"/>
            <w:vAlign w:val="center"/>
            <w:hideMark/>
          </w:tcPr>
          <w:p w14:paraId="2306832E" w14:textId="77777777" w:rsidR="003B6AE8" w:rsidRPr="003F14A4" w:rsidRDefault="003B6AE8" w:rsidP="003B6AE8">
            <w:pPr>
              <w:spacing w:after="0" w:line="240" w:lineRule="auto"/>
              <w:jc w:val="both"/>
            </w:pPr>
            <w:r w:rsidRPr="003F14A4">
              <w:t>1213400030</w:t>
            </w:r>
          </w:p>
        </w:tc>
        <w:tc>
          <w:tcPr>
            <w:tcW w:w="2500" w:type="dxa"/>
            <w:vAlign w:val="center"/>
            <w:hideMark/>
          </w:tcPr>
          <w:p w14:paraId="4BE35241"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6AD75995" w14:textId="6CD98DBC" w:rsidR="003B6AE8" w:rsidRPr="003F14A4" w:rsidRDefault="00720295" w:rsidP="003B6AE8">
            <w:pPr>
              <w:spacing w:after="0" w:line="240" w:lineRule="auto"/>
              <w:jc w:val="right"/>
            </w:pPr>
            <w:r w:rsidRPr="00720295">
              <w:t>622,456,748</w:t>
            </w:r>
          </w:p>
        </w:tc>
        <w:tc>
          <w:tcPr>
            <w:tcW w:w="1378" w:type="dxa"/>
            <w:vAlign w:val="center"/>
            <w:hideMark/>
          </w:tcPr>
          <w:p w14:paraId="62949E64" w14:textId="77777777" w:rsidR="003B6AE8" w:rsidRPr="003F14A4" w:rsidRDefault="003B6AE8" w:rsidP="003B6AE8">
            <w:pPr>
              <w:spacing w:after="0" w:line="240" w:lineRule="auto"/>
              <w:jc w:val="both"/>
            </w:pPr>
            <w:r w:rsidRPr="003F14A4">
              <w:t>TERCEROS</w:t>
            </w:r>
          </w:p>
        </w:tc>
        <w:tc>
          <w:tcPr>
            <w:tcW w:w="2440" w:type="dxa"/>
            <w:vAlign w:val="center"/>
            <w:hideMark/>
          </w:tcPr>
          <w:p w14:paraId="7A8D4681"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0ACB660" w14:textId="77777777" w:rsidTr="000D7E4C">
        <w:trPr>
          <w:trHeight w:val="1020"/>
        </w:trPr>
        <w:tc>
          <w:tcPr>
            <w:tcW w:w="1578" w:type="dxa"/>
            <w:vAlign w:val="center"/>
            <w:hideMark/>
          </w:tcPr>
          <w:p w14:paraId="012E9E8D" w14:textId="77777777" w:rsidR="003B6AE8" w:rsidRPr="003F14A4" w:rsidRDefault="003B6AE8" w:rsidP="003B6AE8">
            <w:pPr>
              <w:spacing w:after="0" w:line="240" w:lineRule="auto"/>
              <w:jc w:val="both"/>
            </w:pPr>
            <w:r w:rsidRPr="003F14A4">
              <w:t>1213400050</w:t>
            </w:r>
          </w:p>
        </w:tc>
        <w:tc>
          <w:tcPr>
            <w:tcW w:w="2500" w:type="dxa"/>
            <w:vAlign w:val="center"/>
            <w:hideMark/>
          </w:tcPr>
          <w:p w14:paraId="74853C6B" w14:textId="77777777" w:rsidR="003B6AE8" w:rsidRPr="003F14A4" w:rsidRDefault="009E237F" w:rsidP="003B6AE8">
            <w:pPr>
              <w:spacing w:after="0" w:line="240" w:lineRule="auto"/>
              <w:jc w:val="both"/>
            </w:pPr>
            <w:r w:rsidRPr="003F14A4">
              <w:t>PRODEP 2016</w:t>
            </w:r>
          </w:p>
        </w:tc>
        <w:tc>
          <w:tcPr>
            <w:tcW w:w="1782" w:type="dxa"/>
            <w:vAlign w:val="center"/>
            <w:hideMark/>
          </w:tcPr>
          <w:p w14:paraId="366BD3BA" w14:textId="2EC4D043" w:rsidR="003B6AE8" w:rsidRPr="003F14A4" w:rsidRDefault="00720295" w:rsidP="003B6AE8">
            <w:pPr>
              <w:spacing w:after="0" w:line="240" w:lineRule="auto"/>
              <w:jc w:val="right"/>
            </w:pPr>
            <w:r w:rsidRPr="00720295">
              <w:t>61,592,775</w:t>
            </w:r>
          </w:p>
        </w:tc>
        <w:tc>
          <w:tcPr>
            <w:tcW w:w="1378" w:type="dxa"/>
            <w:vAlign w:val="center"/>
            <w:hideMark/>
          </w:tcPr>
          <w:p w14:paraId="61A65984" w14:textId="77777777" w:rsidR="003B6AE8" w:rsidRPr="003F14A4" w:rsidRDefault="003B6AE8" w:rsidP="003B6AE8">
            <w:pPr>
              <w:spacing w:after="0" w:line="240" w:lineRule="auto"/>
              <w:jc w:val="both"/>
            </w:pPr>
            <w:r w:rsidRPr="003F14A4">
              <w:t>TERCEROS</w:t>
            </w:r>
          </w:p>
        </w:tc>
        <w:tc>
          <w:tcPr>
            <w:tcW w:w="2440" w:type="dxa"/>
            <w:vAlign w:val="center"/>
            <w:hideMark/>
          </w:tcPr>
          <w:p w14:paraId="45C4F9B7"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9E3318F" w14:textId="77777777" w:rsidTr="000D7E4C">
        <w:trPr>
          <w:trHeight w:val="1020"/>
        </w:trPr>
        <w:tc>
          <w:tcPr>
            <w:tcW w:w="1578" w:type="dxa"/>
            <w:vAlign w:val="center"/>
            <w:hideMark/>
          </w:tcPr>
          <w:p w14:paraId="6CDD52FE" w14:textId="77777777" w:rsidR="003B6AE8" w:rsidRPr="003F14A4" w:rsidRDefault="003B6AE8" w:rsidP="003B6AE8">
            <w:pPr>
              <w:spacing w:after="0" w:line="240" w:lineRule="auto"/>
              <w:jc w:val="both"/>
            </w:pPr>
            <w:r w:rsidRPr="003F14A4">
              <w:t>1213400130</w:t>
            </w:r>
          </w:p>
        </w:tc>
        <w:tc>
          <w:tcPr>
            <w:tcW w:w="2500" w:type="dxa"/>
            <w:vAlign w:val="center"/>
            <w:hideMark/>
          </w:tcPr>
          <w:p w14:paraId="01C5DD7A" w14:textId="77777777" w:rsidR="003B6AE8" w:rsidRPr="003F14A4" w:rsidRDefault="003B6AE8" w:rsidP="003B6AE8">
            <w:pPr>
              <w:spacing w:after="0" w:line="240" w:lineRule="auto"/>
              <w:jc w:val="both"/>
            </w:pPr>
            <w:r w:rsidRPr="003F14A4">
              <w:t>FOBECA</w:t>
            </w:r>
          </w:p>
        </w:tc>
        <w:tc>
          <w:tcPr>
            <w:tcW w:w="1782" w:type="dxa"/>
            <w:vAlign w:val="center"/>
            <w:hideMark/>
          </w:tcPr>
          <w:p w14:paraId="1ECE46E5" w14:textId="0E9E0B91" w:rsidR="003B6AE8" w:rsidRPr="003F14A4" w:rsidRDefault="00720295" w:rsidP="003B6AE8">
            <w:pPr>
              <w:spacing w:after="0" w:line="240" w:lineRule="auto"/>
              <w:jc w:val="right"/>
            </w:pPr>
            <w:r w:rsidRPr="00720295">
              <w:t>6,520,643</w:t>
            </w:r>
          </w:p>
        </w:tc>
        <w:tc>
          <w:tcPr>
            <w:tcW w:w="1378" w:type="dxa"/>
            <w:vAlign w:val="center"/>
            <w:hideMark/>
          </w:tcPr>
          <w:p w14:paraId="6A829429" w14:textId="77777777" w:rsidR="003B6AE8" w:rsidRPr="003F14A4" w:rsidRDefault="003B6AE8" w:rsidP="003B6AE8">
            <w:pPr>
              <w:spacing w:after="0" w:line="240" w:lineRule="auto"/>
              <w:jc w:val="both"/>
            </w:pPr>
            <w:r w:rsidRPr="003F14A4">
              <w:t>TERCEROS</w:t>
            </w:r>
          </w:p>
        </w:tc>
        <w:tc>
          <w:tcPr>
            <w:tcW w:w="2440" w:type="dxa"/>
            <w:vAlign w:val="center"/>
            <w:hideMark/>
          </w:tcPr>
          <w:p w14:paraId="2E7AD8FD"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715207ED" w14:textId="77777777" w:rsidTr="000D7E4C">
        <w:trPr>
          <w:trHeight w:val="204"/>
        </w:trPr>
        <w:tc>
          <w:tcPr>
            <w:tcW w:w="1578" w:type="dxa"/>
            <w:vAlign w:val="center"/>
          </w:tcPr>
          <w:p w14:paraId="66F6E081" w14:textId="77777777" w:rsidR="000D7E4C" w:rsidRPr="00E5213C" w:rsidRDefault="000D7E4C" w:rsidP="000D7E4C">
            <w:pPr>
              <w:spacing w:after="0" w:line="240" w:lineRule="auto"/>
              <w:jc w:val="both"/>
            </w:pPr>
            <w:r w:rsidRPr="00CD7372">
              <w:t>1213400450</w:t>
            </w:r>
          </w:p>
        </w:tc>
        <w:tc>
          <w:tcPr>
            <w:tcW w:w="2500" w:type="dxa"/>
            <w:vAlign w:val="center"/>
          </w:tcPr>
          <w:p w14:paraId="280F93E0" w14:textId="77777777" w:rsidR="000D7E4C" w:rsidRPr="006E23B6" w:rsidRDefault="000D7E4C" w:rsidP="000D7E4C">
            <w:pPr>
              <w:spacing w:after="0" w:line="240" w:lineRule="auto"/>
              <w:jc w:val="both"/>
            </w:pPr>
            <w:r w:rsidRPr="00CD7372">
              <w:t>PRODEP 2019</w:t>
            </w:r>
          </w:p>
        </w:tc>
        <w:tc>
          <w:tcPr>
            <w:tcW w:w="1782" w:type="dxa"/>
            <w:vAlign w:val="center"/>
          </w:tcPr>
          <w:p w14:paraId="78A8B823" w14:textId="07576D14" w:rsidR="000D7E4C" w:rsidRPr="00CD7372" w:rsidRDefault="00720295" w:rsidP="000D7E4C">
            <w:pPr>
              <w:jc w:val="right"/>
            </w:pPr>
            <w:r w:rsidRPr="00720295">
              <w:t>568,001</w:t>
            </w:r>
          </w:p>
        </w:tc>
        <w:tc>
          <w:tcPr>
            <w:tcW w:w="1378" w:type="dxa"/>
            <w:vAlign w:val="center"/>
          </w:tcPr>
          <w:p w14:paraId="7BAD06A8" w14:textId="77777777" w:rsidR="000D7E4C" w:rsidRPr="006353E5" w:rsidRDefault="000D7E4C" w:rsidP="000D7E4C">
            <w:pPr>
              <w:spacing w:after="0" w:line="240" w:lineRule="auto"/>
              <w:jc w:val="both"/>
            </w:pPr>
            <w:r w:rsidRPr="006353E5">
              <w:t>TERCEROS</w:t>
            </w:r>
          </w:p>
        </w:tc>
        <w:tc>
          <w:tcPr>
            <w:tcW w:w="2440" w:type="dxa"/>
            <w:vAlign w:val="center"/>
          </w:tcPr>
          <w:p w14:paraId="37E5434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2227394" w14:textId="77777777" w:rsidTr="000D7E4C">
        <w:trPr>
          <w:trHeight w:val="204"/>
        </w:trPr>
        <w:tc>
          <w:tcPr>
            <w:tcW w:w="1578" w:type="dxa"/>
            <w:vAlign w:val="center"/>
          </w:tcPr>
          <w:p w14:paraId="110D3142" w14:textId="03FCAA33"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422763B4" w14:textId="3D260BC3" w:rsidR="006353E5" w:rsidRPr="00CD7372" w:rsidRDefault="006353E5" w:rsidP="006353E5">
            <w:pPr>
              <w:spacing w:after="0" w:line="240" w:lineRule="auto"/>
              <w:jc w:val="both"/>
            </w:pPr>
            <w:r w:rsidRPr="00CD7372">
              <w:t>PRODEP 20</w:t>
            </w:r>
            <w:r>
              <w:t>20</w:t>
            </w:r>
          </w:p>
        </w:tc>
        <w:tc>
          <w:tcPr>
            <w:tcW w:w="1782" w:type="dxa"/>
            <w:vAlign w:val="center"/>
          </w:tcPr>
          <w:p w14:paraId="7C28C91A" w14:textId="0FA59274" w:rsidR="006353E5" w:rsidRPr="00EF5061" w:rsidRDefault="00720295" w:rsidP="006353E5">
            <w:pPr>
              <w:jc w:val="right"/>
            </w:pPr>
            <w:r w:rsidRPr="00720295">
              <w:t>5,140,684</w:t>
            </w:r>
          </w:p>
        </w:tc>
        <w:tc>
          <w:tcPr>
            <w:tcW w:w="1378" w:type="dxa"/>
            <w:vAlign w:val="center"/>
          </w:tcPr>
          <w:p w14:paraId="43B7ED0C" w14:textId="757E5996" w:rsidR="006353E5" w:rsidRPr="006353E5" w:rsidRDefault="006353E5" w:rsidP="006353E5">
            <w:pPr>
              <w:spacing w:after="0" w:line="240" w:lineRule="auto"/>
              <w:jc w:val="both"/>
            </w:pPr>
            <w:r w:rsidRPr="006353E5">
              <w:t>TERCEROS</w:t>
            </w:r>
          </w:p>
        </w:tc>
        <w:tc>
          <w:tcPr>
            <w:tcW w:w="2440" w:type="dxa"/>
            <w:vAlign w:val="center"/>
          </w:tcPr>
          <w:p w14:paraId="020DAFEB" w14:textId="0B3FC2A9"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17392EEC" w14:textId="77777777" w:rsidTr="003B6AE8">
        <w:trPr>
          <w:trHeight w:val="204"/>
        </w:trPr>
        <w:tc>
          <w:tcPr>
            <w:tcW w:w="1578" w:type="dxa"/>
            <w:hideMark/>
          </w:tcPr>
          <w:p w14:paraId="7306FDD7"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6E450CE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A0DC89F" w14:textId="0DBB2A88" w:rsidR="006353E5" w:rsidRPr="00E26F29" w:rsidRDefault="00720295" w:rsidP="006353E5">
            <w:pPr>
              <w:spacing w:after="0" w:line="240" w:lineRule="auto"/>
              <w:jc w:val="right"/>
              <w:rPr>
                <w:rFonts w:ascii="Trebuchet MS" w:hAnsi="Trebuchet MS"/>
                <w:b/>
                <w:bCs/>
                <w:sz w:val="20"/>
                <w:szCs w:val="20"/>
              </w:rPr>
            </w:pPr>
            <w:r w:rsidRPr="00720295">
              <w:rPr>
                <w:rFonts w:ascii="Trebuchet MS" w:hAnsi="Trebuchet MS"/>
                <w:b/>
                <w:bCs/>
                <w:sz w:val="20"/>
                <w:szCs w:val="20"/>
              </w:rPr>
              <w:t>720,105,840</w:t>
            </w:r>
          </w:p>
        </w:tc>
        <w:tc>
          <w:tcPr>
            <w:tcW w:w="1378" w:type="dxa"/>
            <w:hideMark/>
          </w:tcPr>
          <w:p w14:paraId="2DD6649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14DDACC1"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7C9E02A" w14:textId="77777777" w:rsidR="007D1E76" w:rsidRPr="00E74967" w:rsidRDefault="007D1E76" w:rsidP="00CB41C4">
      <w:pPr>
        <w:tabs>
          <w:tab w:val="left" w:leader="underscore" w:pos="9639"/>
        </w:tabs>
        <w:spacing w:after="0" w:line="240" w:lineRule="auto"/>
        <w:jc w:val="both"/>
        <w:rPr>
          <w:rFonts w:cs="Calibri"/>
        </w:rPr>
      </w:pPr>
    </w:p>
    <w:p w14:paraId="66A96939" w14:textId="77777777" w:rsidR="007D1E76" w:rsidRPr="000C3365" w:rsidRDefault="007D1E76" w:rsidP="000C3365">
      <w:pPr>
        <w:pStyle w:val="Ttulo2"/>
        <w:rPr>
          <w:rFonts w:asciiTheme="minorHAnsi" w:hAnsiTheme="minorHAnsi" w:cstheme="minorHAnsi"/>
          <w:b/>
          <w:color w:val="auto"/>
          <w:sz w:val="22"/>
        </w:rPr>
      </w:pPr>
      <w:bookmarkStart w:id="12" w:name="_Toc512416738"/>
      <w:r w:rsidRPr="000C3365">
        <w:rPr>
          <w:rFonts w:asciiTheme="minorHAnsi" w:hAnsiTheme="minorHAnsi" w:cstheme="minorHAnsi"/>
          <w:b/>
          <w:color w:val="auto"/>
          <w:sz w:val="22"/>
        </w:rPr>
        <w:t>10. Reporte de la Recaudación:</w:t>
      </w:r>
      <w:bookmarkEnd w:id="12"/>
    </w:p>
    <w:p w14:paraId="0C3691DE" w14:textId="77777777" w:rsidR="00850A38" w:rsidRPr="00E74967" w:rsidRDefault="00850A38" w:rsidP="00CB41C4">
      <w:pPr>
        <w:tabs>
          <w:tab w:val="left" w:leader="underscore" w:pos="9639"/>
        </w:tabs>
        <w:spacing w:after="0" w:line="240" w:lineRule="auto"/>
        <w:jc w:val="both"/>
        <w:rPr>
          <w:rFonts w:cs="Calibri"/>
        </w:rPr>
      </w:pPr>
    </w:p>
    <w:p w14:paraId="2486A32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5C2ED1A8" w14:textId="53FF7DD0" w:rsidR="003B6AE8" w:rsidRDefault="003B6AE8" w:rsidP="003B6AE8">
      <w:pPr>
        <w:spacing w:after="0" w:line="240" w:lineRule="auto"/>
        <w:jc w:val="both"/>
        <w:rPr>
          <w:rFonts w:ascii="Trebuchet MS" w:hAnsi="Trebuchet MS"/>
          <w:b/>
          <w:sz w:val="20"/>
          <w:szCs w:val="20"/>
        </w:rPr>
      </w:pPr>
    </w:p>
    <w:p w14:paraId="0B8A6603"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265B1E3B" w14:textId="77777777" w:rsidTr="00620003">
        <w:trPr>
          <w:trHeight w:val="300"/>
          <w:jc w:val="center"/>
        </w:trPr>
        <w:tc>
          <w:tcPr>
            <w:tcW w:w="4980" w:type="dxa"/>
            <w:shd w:val="clear" w:color="auto" w:fill="auto"/>
            <w:vAlign w:val="center"/>
            <w:hideMark/>
          </w:tcPr>
          <w:p w14:paraId="0B2E11D8"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14:paraId="016F4FF5" w14:textId="03E1C9EC" w:rsidR="003B6AE8" w:rsidRPr="00740414" w:rsidRDefault="00720295" w:rsidP="003B6AE8">
            <w:pPr>
              <w:spacing w:after="0" w:line="240" w:lineRule="auto"/>
              <w:jc w:val="right"/>
              <w:rPr>
                <w:rFonts w:ascii="Trebuchet MS" w:eastAsia="Times New Roman" w:hAnsi="Trebuchet MS"/>
                <w:b/>
                <w:bCs/>
                <w:color w:val="000000"/>
                <w:sz w:val="16"/>
                <w:szCs w:val="16"/>
                <w:lang w:eastAsia="es-MX"/>
              </w:rPr>
            </w:pPr>
            <w:r w:rsidRPr="00720295">
              <w:rPr>
                <w:rFonts w:ascii="Trebuchet MS" w:eastAsia="Times New Roman" w:hAnsi="Trebuchet MS"/>
                <w:b/>
                <w:bCs/>
                <w:color w:val="000000"/>
                <w:sz w:val="16"/>
                <w:szCs w:val="16"/>
                <w:lang w:eastAsia="es-MX"/>
              </w:rPr>
              <w:t>221,915,341</w:t>
            </w:r>
          </w:p>
        </w:tc>
      </w:tr>
    </w:tbl>
    <w:p w14:paraId="10A38811" w14:textId="77777777" w:rsidR="003B6AE8" w:rsidRDefault="003B6AE8" w:rsidP="003B6AE8">
      <w:pPr>
        <w:spacing w:after="0" w:line="240" w:lineRule="auto"/>
        <w:jc w:val="both"/>
        <w:rPr>
          <w:rFonts w:ascii="Trebuchet MS" w:hAnsi="Trebuchet MS"/>
          <w:b/>
          <w:sz w:val="20"/>
          <w:szCs w:val="20"/>
        </w:rPr>
      </w:pPr>
    </w:p>
    <w:p w14:paraId="6CA7AFDB" w14:textId="77777777" w:rsidR="003B6AE8" w:rsidRDefault="003B6AE8" w:rsidP="003B6AE8">
      <w:pPr>
        <w:spacing w:after="0" w:line="240" w:lineRule="auto"/>
        <w:jc w:val="center"/>
      </w:pPr>
    </w:p>
    <w:p w14:paraId="7812452D"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15DFDEBB" w14:textId="77777777" w:rsidTr="00142834">
        <w:trPr>
          <w:trHeight w:val="57"/>
          <w:jc w:val="center"/>
        </w:trPr>
        <w:tc>
          <w:tcPr>
            <w:tcW w:w="1332" w:type="dxa"/>
            <w:hideMark/>
          </w:tcPr>
          <w:p w14:paraId="6FF4C50F"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1C38B814"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46FA92D5" w14:textId="77777777" w:rsidR="003B6AE8" w:rsidRPr="00E26F29" w:rsidRDefault="003B6AE8" w:rsidP="003B6AE8">
            <w:pPr>
              <w:spacing w:after="0" w:line="240" w:lineRule="auto"/>
              <w:jc w:val="center"/>
              <w:rPr>
                <w:b/>
                <w:bCs/>
              </w:rPr>
            </w:pPr>
            <w:r w:rsidRPr="00E26F29">
              <w:rPr>
                <w:b/>
                <w:bCs/>
              </w:rPr>
              <w:t>MONTO</w:t>
            </w:r>
          </w:p>
        </w:tc>
      </w:tr>
      <w:tr w:rsidR="00237775" w:rsidRPr="00E26F29" w14:paraId="277A28CD" w14:textId="77777777" w:rsidTr="00142834">
        <w:trPr>
          <w:trHeight w:val="57"/>
          <w:jc w:val="center"/>
        </w:trPr>
        <w:tc>
          <w:tcPr>
            <w:tcW w:w="1332" w:type="dxa"/>
            <w:vAlign w:val="center"/>
          </w:tcPr>
          <w:p w14:paraId="48706E3F" w14:textId="4E53DA1B" w:rsidR="00237775" w:rsidRPr="00206DC4" w:rsidRDefault="00620003" w:rsidP="00237775">
            <w:pPr>
              <w:spacing w:after="0" w:line="240" w:lineRule="auto"/>
              <w:jc w:val="center"/>
            </w:pPr>
            <w:r w:rsidRPr="00620003">
              <w:t>4213831101</w:t>
            </w:r>
          </w:p>
        </w:tc>
        <w:tc>
          <w:tcPr>
            <w:tcW w:w="3220" w:type="dxa"/>
            <w:vAlign w:val="center"/>
          </w:tcPr>
          <w:p w14:paraId="1C423736" w14:textId="77777777" w:rsidR="00237775" w:rsidRPr="00206DC4" w:rsidRDefault="00142834" w:rsidP="00142834">
            <w:pPr>
              <w:spacing w:after="0" w:line="240" w:lineRule="auto"/>
              <w:jc w:val="center"/>
            </w:pPr>
            <w:r w:rsidRPr="00142834">
              <w:t>CONACYT</w:t>
            </w:r>
          </w:p>
        </w:tc>
        <w:tc>
          <w:tcPr>
            <w:tcW w:w="1783" w:type="dxa"/>
            <w:vAlign w:val="center"/>
          </w:tcPr>
          <w:p w14:paraId="334CE1AB" w14:textId="21F538EC" w:rsidR="00237775" w:rsidRPr="00206DC4" w:rsidRDefault="00720295" w:rsidP="00142834">
            <w:pPr>
              <w:spacing w:after="0" w:line="240" w:lineRule="auto"/>
              <w:jc w:val="right"/>
            </w:pPr>
            <w:r w:rsidRPr="00720295">
              <w:t>26,104,819</w:t>
            </w:r>
          </w:p>
        </w:tc>
      </w:tr>
      <w:tr w:rsidR="00142834" w:rsidRPr="00E26F29" w14:paraId="0C3926DF" w14:textId="77777777" w:rsidTr="00142834">
        <w:trPr>
          <w:trHeight w:val="57"/>
          <w:jc w:val="center"/>
        </w:trPr>
        <w:tc>
          <w:tcPr>
            <w:tcW w:w="1332" w:type="dxa"/>
            <w:vAlign w:val="center"/>
          </w:tcPr>
          <w:p w14:paraId="147C057C" w14:textId="46520686" w:rsidR="00142834" w:rsidRPr="001F65D7" w:rsidRDefault="00620003" w:rsidP="00142834">
            <w:pPr>
              <w:spacing w:after="0" w:line="240" w:lineRule="auto"/>
              <w:jc w:val="center"/>
            </w:pPr>
            <w:r w:rsidRPr="00620003">
              <w:t>4223910102</w:t>
            </w:r>
          </w:p>
        </w:tc>
        <w:tc>
          <w:tcPr>
            <w:tcW w:w="3220" w:type="dxa"/>
            <w:vAlign w:val="center"/>
          </w:tcPr>
          <w:p w14:paraId="74EB24AF" w14:textId="35AD2A09" w:rsidR="00142834" w:rsidRPr="00CA2964" w:rsidRDefault="00620003" w:rsidP="00142834">
            <w:pPr>
              <w:spacing w:after="0" w:line="240" w:lineRule="auto"/>
              <w:jc w:val="center"/>
            </w:pPr>
            <w:r w:rsidRPr="00620003">
              <w:t>SUBSIDIO ESTATAL ORDINARIO</w:t>
            </w:r>
          </w:p>
        </w:tc>
        <w:tc>
          <w:tcPr>
            <w:tcW w:w="1783" w:type="dxa"/>
            <w:vAlign w:val="center"/>
          </w:tcPr>
          <w:p w14:paraId="7BEB4814" w14:textId="766C9C45" w:rsidR="00142834" w:rsidRPr="004B5D82" w:rsidRDefault="00720295" w:rsidP="00142834">
            <w:pPr>
              <w:spacing w:after="0" w:line="240" w:lineRule="auto"/>
              <w:jc w:val="right"/>
            </w:pPr>
            <w:r w:rsidRPr="00720295">
              <w:t>579,203,976</w:t>
            </w:r>
          </w:p>
        </w:tc>
      </w:tr>
      <w:tr w:rsidR="00974FF2" w:rsidRPr="00E26F29" w14:paraId="58B9BA2A" w14:textId="77777777" w:rsidTr="00142834">
        <w:trPr>
          <w:trHeight w:val="57"/>
          <w:jc w:val="center"/>
        </w:trPr>
        <w:tc>
          <w:tcPr>
            <w:tcW w:w="1332" w:type="dxa"/>
            <w:vAlign w:val="center"/>
          </w:tcPr>
          <w:p w14:paraId="4682C276" w14:textId="64066284" w:rsidR="00974FF2" w:rsidRPr="001F65D7" w:rsidRDefault="00620003" w:rsidP="00142834">
            <w:pPr>
              <w:spacing w:after="0" w:line="240" w:lineRule="auto"/>
              <w:jc w:val="center"/>
            </w:pPr>
            <w:r w:rsidRPr="00620003">
              <w:t>4223930101</w:t>
            </w:r>
          </w:p>
        </w:tc>
        <w:tc>
          <w:tcPr>
            <w:tcW w:w="3220" w:type="dxa"/>
            <w:vAlign w:val="center"/>
          </w:tcPr>
          <w:p w14:paraId="216B0EEC" w14:textId="5BDD8AF7" w:rsidR="00974FF2" w:rsidRPr="00CA2964" w:rsidRDefault="00620003" w:rsidP="00142834">
            <w:pPr>
              <w:spacing w:after="0" w:line="240" w:lineRule="auto"/>
              <w:jc w:val="center"/>
            </w:pPr>
            <w:r w:rsidRPr="00620003">
              <w:t>SUBSIDIO FEDERAL ORDINARIO</w:t>
            </w:r>
          </w:p>
        </w:tc>
        <w:tc>
          <w:tcPr>
            <w:tcW w:w="1783" w:type="dxa"/>
            <w:vAlign w:val="center"/>
          </w:tcPr>
          <w:p w14:paraId="23283659" w14:textId="67E5B060" w:rsidR="00974FF2" w:rsidRPr="006353E5" w:rsidRDefault="00720295" w:rsidP="00142834">
            <w:pPr>
              <w:spacing w:after="0" w:line="240" w:lineRule="auto"/>
              <w:jc w:val="right"/>
            </w:pPr>
            <w:r w:rsidRPr="00720295">
              <w:t>1,081,995,000</w:t>
            </w:r>
          </w:p>
        </w:tc>
      </w:tr>
      <w:tr w:rsidR="00974FF2" w:rsidRPr="00E26F29" w14:paraId="5074508C" w14:textId="77777777" w:rsidTr="00142834">
        <w:trPr>
          <w:trHeight w:val="57"/>
          <w:jc w:val="center"/>
        </w:trPr>
        <w:tc>
          <w:tcPr>
            <w:tcW w:w="1332" w:type="dxa"/>
            <w:vAlign w:val="center"/>
          </w:tcPr>
          <w:p w14:paraId="63B8B519" w14:textId="6C8DFA4B" w:rsidR="00974FF2" w:rsidRPr="001F65D7" w:rsidRDefault="00620003" w:rsidP="00142834">
            <w:pPr>
              <w:spacing w:after="0" w:line="240" w:lineRule="auto"/>
              <w:jc w:val="center"/>
            </w:pPr>
            <w:r w:rsidRPr="00620003">
              <w:t>4223910202</w:t>
            </w:r>
          </w:p>
        </w:tc>
        <w:tc>
          <w:tcPr>
            <w:tcW w:w="3220" w:type="dxa"/>
            <w:vAlign w:val="center"/>
          </w:tcPr>
          <w:p w14:paraId="40085BB8" w14:textId="1D6E0181" w:rsidR="00974FF2" w:rsidRPr="00CA2964" w:rsidRDefault="00620003" w:rsidP="00142834">
            <w:pPr>
              <w:spacing w:after="0" w:line="240" w:lineRule="auto"/>
              <w:jc w:val="center"/>
            </w:pPr>
            <w:r w:rsidRPr="00620003">
              <w:t>APOYO ESTATAL EXTRAORDINARIO</w:t>
            </w:r>
          </w:p>
        </w:tc>
        <w:tc>
          <w:tcPr>
            <w:tcW w:w="1783" w:type="dxa"/>
            <w:vAlign w:val="center"/>
          </w:tcPr>
          <w:p w14:paraId="1BB3814E" w14:textId="74D5D6B8" w:rsidR="00974FF2" w:rsidRPr="006353E5" w:rsidRDefault="00620003" w:rsidP="00142834">
            <w:pPr>
              <w:spacing w:after="0" w:line="240" w:lineRule="auto"/>
              <w:jc w:val="right"/>
            </w:pPr>
            <w:r w:rsidRPr="00620003">
              <w:t>6,111,045</w:t>
            </w:r>
          </w:p>
        </w:tc>
      </w:tr>
      <w:tr w:rsidR="00142834" w:rsidRPr="00E26F29" w14:paraId="532464FE" w14:textId="77777777" w:rsidTr="00142834">
        <w:trPr>
          <w:trHeight w:val="57"/>
          <w:jc w:val="center"/>
        </w:trPr>
        <w:tc>
          <w:tcPr>
            <w:tcW w:w="1332" w:type="dxa"/>
            <w:vAlign w:val="center"/>
          </w:tcPr>
          <w:p w14:paraId="0794F961" w14:textId="67B46F27" w:rsidR="00142834" w:rsidRPr="001F65D7" w:rsidRDefault="00620003" w:rsidP="00142834">
            <w:pPr>
              <w:spacing w:after="0" w:line="240" w:lineRule="auto"/>
              <w:jc w:val="center"/>
            </w:pPr>
            <w:r w:rsidRPr="00620003">
              <w:t>4213830210</w:t>
            </w:r>
          </w:p>
        </w:tc>
        <w:tc>
          <w:tcPr>
            <w:tcW w:w="3220" w:type="dxa"/>
            <w:vAlign w:val="center"/>
          </w:tcPr>
          <w:p w14:paraId="792FB2D6" w14:textId="64E0F10A" w:rsidR="00142834" w:rsidRPr="00CA2964" w:rsidRDefault="00620003" w:rsidP="00142834">
            <w:pPr>
              <w:spacing w:after="0" w:line="240" w:lineRule="auto"/>
              <w:jc w:val="center"/>
            </w:pPr>
            <w:r w:rsidRPr="00620003">
              <w:t>OTROS CONVENIOS ESTATALES</w:t>
            </w:r>
          </w:p>
        </w:tc>
        <w:tc>
          <w:tcPr>
            <w:tcW w:w="1783" w:type="dxa"/>
            <w:vAlign w:val="center"/>
          </w:tcPr>
          <w:p w14:paraId="35ECA937" w14:textId="1021FE62" w:rsidR="00142834" w:rsidRPr="004B5D82" w:rsidRDefault="00620003" w:rsidP="00142834">
            <w:pPr>
              <w:spacing w:after="0" w:line="240" w:lineRule="auto"/>
              <w:jc w:val="right"/>
            </w:pPr>
            <w:r w:rsidRPr="00620003">
              <w:t>999,588</w:t>
            </w:r>
          </w:p>
        </w:tc>
      </w:tr>
      <w:tr w:rsidR="00720295" w:rsidRPr="00E26F29" w14:paraId="34A48E38" w14:textId="77777777" w:rsidTr="00142834">
        <w:trPr>
          <w:trHeight w:val="57"/>
          <w:jc w:val="center"/>
        </w:trPr>
        <w:tc>
          <w:tcPr>
            <w:tcW w:w="1332" w:type="dxa"/>
            <w:vAlign w:val="center"/>
          </w:tcPr>
          <w:p w14:paraId="613678D0" w14:textId="576B7D53" w:rsidR="00720295" w:rsidRPr="00620003" w:rsidRDefault="00720295" w:rsidP="00142834">
            <w:pPr>
              <w:spacing w:after="0" w:line="240" w:lineRule="auto"/>
              <w:jc w:val="center"/>
            </w:pPr>
            <w:r w:rsidRPr="00720295">
              <w:t>4223930301</w:t>
            </w:r>
          </w:p>
        </w:tc>
        <w:tc>
          <w:tcPr>
            <w:tcW w:w="3220" w:type="dxa"/>
            <w:vAlign w:val="center"/>
          </w:tcPr>
          <w:p w14:paraId="01C5BF59" w14:textId="4D521B0D" w:rsidR="00720295" w:rsidRPr="00620003" w:rsidRDefault="00720295" w:rsidP="00142834">
            <w:pPr>
              <w:spacing w:after="0" w:line="240" w:lineRule="auto"/>
              <w:jc w:val="center"/>
            </w:pPr>
            <w:r>
              <w:t>FAM</w:t>
            </w:r>
          </w:p>
        </w:tc>
        <w:tc>
          <w:tcPr>
            <w:tcW w:w="1783" w:type="dxa"/>
            <w:vAlign w:val="center"/>
          </w:tcPr>
          <w:p w14:paraId="1A4A6F82" w14:textId="29B28D6B" w:rsidR="00720295" w:rsidRPr="00620003" w:rsidRDefault="00720295" w:rsidP="00142834">
            <w:pPr>
              <w:spacing w:after="0" w:line="240" w:lineRule="auto"/>
              <w:jc w:val="right"/>
            </w:pPr>
            <w:r w:rsidRPr="00720295">
              <w:t>8,334,45</w:t>
            </w:r>
            <w:r>
              <w:t>8</w:t>
            </w:r>
          </w:p>
        </w:tc>
      </w:tr>
      <w:tr w:rsidR="00974FF2" w:rsidRPr="00E26F29" w14:paraId="521570DC" w14:textId="77777777" w:rsidTr="00142834">
        <w:trPr>
          <w:trHeight w:val="57"/>
          <w:jc w:val="center"/>
        </w:trPr>
        <w:tc>
          <w:tcPr>
            <w:tcW w:w="1332" w:type="dxa"/>
            <w:vAlign w:val="center"/>
            <w:hideMark/>
          </w:tcPr>
          <w:p w14:paraId="2D480715" w14:textId="77777777" w:rsidR="00974FF2" w:rsidRPr="00E26F29" w:rsidRDefault="00974FF2" w:rsidP="00974FF2">
            <w:pPr>
              <w:spacing w:after="0" w:line="240" w:lineRule="auto"/>
              <w:jc w:val="center"/>
            </w:pPr>
            <w:r w:rsidRPr="00E26F29">
              <w:t> </w:t>
            </w:r>
          </w:p>
        </w:tc>
        <w:tc>
          <w:tcPr>
            <w:tcW w:w="3220" w:type="dxa"/>
            <w:vAlign w:val="center"/>
            <w:hideMark/>
          </w:tcPr>
          <w:p w14:paraId="3F448EBD" w14:textId="77777777" w:rsidR="00974FF2" w:rsidRPr="00E26F29" w:rsidRDefault="00974FF2" w:rsidP="00974FF2">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4424C7E5" w14:textId="7E6DDE74" w:rsidR="00974FF2" w:rsidRPr="00E26F29" w:rsidRDefault="00720295" w:rsidP="00974FF2">
            <w:pPr>
              <w:spacing w:after="0" w:line="240" w:lineRule="auto"/>
              <w:jc w:val="right"/>
              <w:rPr>
                <w:b/>
                <w:bCs/>
              </w:rPr>
            </w:pPr>
            <w:r w:rsidRPr="00720295">
              <w:rPr>
                <w:b/>
                <w:bCs/>
              </w:rPr>
              <w:t>1,702,748,88</w:t>
            </w:r>
            <w:r>
              <w:rPr>
                <w:b/>
                <w:bCs/>
              </w:rPr>
              <w:t>6</w:t>
            </w:r>
          </w:p>
        </w:tc>
      </w:tr>
    </w:tbl>
    <w:p w14:paraId="1B978B81" w14:textId="57784593" w:rsidR="003B6AE8" w:rsidRDefault="003B6AE8" w:rsidP="003B6AE8">
      <w:pPr>
        <w:spacing w:after="0" w:line="240" w:lineRule="auto"/>
        <w:jc w:val="center"/>
      </w:pPr>
    </w:p>
    <w:p w14:paraId="3C11F2FE" w14:textId="77777777" w:rsidR="001E43D4" w:rsidRPr="00F15FE1" w:rsidRDefault="001E43D4" w:rsidP="003B6AE8">
      <w:pPr>
        <w:spacing w:after="0" w:line="240" w:lineRule="auto"/>
        <w:jc w:val="center"/>
      </w:pPr>
    </w:p>
    <w:p w14:paraId="1FCF96B4"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EC46336" w14:textId="1EC618D3" w:rsidR="00974FF2" w:rsidRDefault="00974FF2" w:rsidP="001E43D4">
      <w:pPr>
        <w:spacing w:after="0" w:line="240" w:lineRule="auto"/>
        <w:jc w:val="both"/>
        <w:rPr>
          <w:rFonts w:ascii="Trebuchet MS" w:hAnsi="Trebuchet MS"/>
          <w:sz w:val="20"/>
          <w:szCs w:val="20"/>
        </w:rPr>
      </w:pPr>
    </w:p>
    <w:p w14:paraId="30B30A95" w14:textId="5FA9BBE3" w:rsidR="001E43D4" w:rsidRDefault="001E43D4" w:rsidP="001E43D4">
      <w:pPr>
        <w:spacing w:after="0" w:line="240" w:lineRule="auto"/>
        <w:jc w:val="both"/>
        <w:rPr>
          <w:rFonts w:ascii="Trebuchet MS" w:hAnsi="Trebuchet MS"/>
          <w:sz w:val="20"/>
          <w:szCs w:val="20"/>
        </w:rPr>
      </w:pPr>
    </w:p>
    <w:p w14:paraId="0D99D16E" w14:textId="610413E5" w:rsidR="001E43D4" w:rsidRDefault="001E43D4" w:rsidP="001E43D4">
      <w:pPr>
        <w:spacing w:after="0" w:line="240" w:lineRule="auto"/>
        <w:jc w:val="both"/>
        <w:rPr>
          <w:rFonts w:ascii="Trebuchet MS" w:hAnsi="Trebuchet MS"/>
          <w:sz w:val="20"/>
          <w:szCs w:val="20"/>
        </w:rPr>
      </w:pPr>
    </w:p>
    <w:p w14:paraId="747C151A" w14:textId="77777777" w:rsidR="001E43D4" w:rsidRPr="001E43D4" w:rsidRDefault="001E43D4" w:rsidP="001E43D4">
      <w:pPr>
        <w:spacing w:after="0" w:line="240" w:lineRule="auto"/>
        <w:jc w:val="both"/>
        <w:rPr>
          <w:rFonts w:ascii="Trebuchet MS" w:hAnsi="Trebuchet MS"/>
          <w:sz w:val="20"/>
          <w:szCs w:val="20"/>
        </w:rPr>
      </w:pPr>
    </w:p>
    <w:p w14:paraId="5BC81204"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272A328" w14:textId="77777777" w:rsidTr="00006EC2">
        <w:trPr>
          <w:trHeight w:val="300"/>
          <w:jc w:val="center"/>
        </w:trPr>
        <w:tc>
          <w:tcPr>
            <w:tcW w:w="4381" w:type="dxa"/>
            <w:shd w:val="clear" w:color="auto" w:fill="auto"/>
            <w:vAlign w:val="bottom"/>
            <w:hideMark/>
          </w:tcPr>
          <w:p w14:paraId="2568041D"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027A44F4" w14:textId="77777777" w:rsidTr="00006EC2">
        <w:trPr>
          <w:trHeight w:val="300"/>
          <w:jc w:val="center"/>
        </w:trPr>
        <w:tc>
          <w:tcPr>
            <w:tcW w:w="4381" w:type="dxa"/>
            <w:shd w:val="clear" w:color="auto" w:fill="auto"/>
            <w:noWrap/>
            <w:vAlign w:val="bottom"/>
            <w:hideMark/>
          </w:tcPr>
          <w:p w14:paraId="22E9E81C"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3"/>
          </w:p>
        </w:tc>
      </w:tr>
      <w:tr w:rsidR="003232C5" w:rsidRPr="0054698B" w14:paraId="3FDA9635" w14:textId="77777777" w:rsidTr="00006EC2">
        <w:trPr>
          <w:trHeight w:val="300"/>
          <w:jc w:val="center"/>
        </w:trPr>
        <w:tc>
          <w:tcPr>
            <w:tcW w:w="4381" w:type="dxa"/>
            <w:shd w:val="clear" w:color="auto" w:fill="auto"/>
            <w:noWrap/>
            <w:vAlign w:val="bottom"/>
            <w:hideMark/>
          </w:tcPr>
          <w:p w14:paraId="27B402C2"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4"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4"/>
            <w:proofErr w:type="gramEnd"/>
          </w:p>
        </w:tc>
      </w:tr>
      <w:tr w:rsidR="003232C5" w:rsidRPr="0054698B" w14:paraId="77097946" w14:textId="77777777" w:rsidTr="00006EC2">
        <w:trPr>
          <w:trHeight w:val="300"/>
          <w:jc w:val="center"/>
        </w:trPr>
        <w:tc>
          <w:tcPr>
            <w:tcW w:w="4381" w:type="dxa"/>
            <w:shd w:val="clear" w:color="auto" w:fill="auto"/>
            <w:noWrap/>
            <w:vAlign w:val="bottom"/>
            <w:hideMark/>
          </w:tcPr>
          <w:p w14:paraId="3FC155E8"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5"/>
          </w:p>
        </w:tc>
      </w:tr>
      <w:tr w:rsidR="003232C5" w:rsidRPr="00115509" w14:paraId="28CFFBBE" w14:textId="77777777" w:rsidTr="00006EC2">
        <w:trPr>
          <w:trHeight w:val="300"/>
          <w:jc w:val="center"/>
        </w:trPr>
        <w:tc>
          <w:tcPr>
            <w:tcW w:w="4381" w:type="dxa"/>
            <w:shd w:val="clear" w:color="auto" w:fill="auto"/>
            <w:noWrap/>
            <w:vAlign w:val="bottom"/>
            <w:hideMark/>
          </w:tcPr>
          <w:p w14:paraId="417E6405"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6"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6"/>
          </w:p>
        </w:tc>
      </w:tr>
    </w:tbl>
    <w:p w14:paraId="4DF97F64" w14:textId="77777777" w:rsidR="007D1E76" w:rsidRPr="00E74967" w:rsidRDefault="007D1E76" w:rsidP="00CB41C4">
      <w:pPr>
        <w:tabs>
          <w:tab w:val="left" w:leader="underscore" w:pos="9639"/>
        </w:tabs>
        <w:spacing w:after="0" w:line="240" w:lineRule="auto"/>
        <w:jc w:val="both"/>
        <w:rPr>
          <w:rFonts w:cs="Calibri"/>
        </w:rPr>
      </w:pPr>
    </w:p>
    <w:p w14:paraId="7798F139" w14:textId="77777777" w:rsidR="007D1E76" w:rsidRDefault="007D1E76" w:rsidP="000C3365">
      <w:pPr>
        <w:pStyle w:val="Ttulo2"/>
        <w:rPr>
          <w:rFonts w:asciiTheme="minorHAnsi" w:hAnsiTheme="minorHAnsi" w:cstheme="minorHAnsi"/>
          <w:b/>
          <w:color w:val="auto"/>
          <w:sz w:val="22"/>
        </w:rPr>
      </w:pPr>
      <w:bookmarkStart w:id="17"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416B0600" w14:textId="77777777" w:rsidR="00394CB4" w:rsidRDefault="00394CB4" w:rsidP="003B6AE8">
      <w:pPr>
        <w:spacing w:after="0" w:line="240" w:lineRule="auto"/>
        <w:jc w:val="both"/>
      </w:pPr>
    </w:p>
    <w:p w14:paraId="41D2163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3AB7BF3" w14:textId="77777777" w:rsidR="003B6AE8" w:rsidRPr="008878FA" w:rsidRDefault="003B6AE8" w:rsidP="003B6AE8">
      <w:pPr>
        <w:spacing w:after="0" w:line="240" w:lineRule="auto"/>
        <w:jc w:val="both"/>
        <w:rPr>
          <w:rFonts w:ascii="Trebuchet MS" w:hAnsi="Trebuchet MS"/>
          <w:sz w:val="20"/>
          <w:szCs w:val="20"/>
        </w:rPr>
      </w:pPr>
    </w:p>
    <w:p w14:paraId="54BEDAB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8D881BB"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64F5BD12" w14:textId="77777777" w:rsidR="003B6AE8" w:rsidRPr="008878FA" w:rsidRDefault="003B6AE8" w:rsidP="003B6AE8">
      <w:pPr>
        <w:spacing w:after="0" w:line="240" w:lineRule="auto"/>
        <w:jc w:val="both"/>
        <w:rPr>
          <w:rFonts w:ascii="Trebuchet MS" w:hAnsi="Trebuchet MS"/>
          <w:sz w:val="20"/>
          <w:szCs w:val="20"/>
        </w:rPr>
      </w:pPr>
    </w:p>
    <w:p w14:paraId="4263491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75F799E5"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6D7DC47" w14:textId="77777777" w:rsidR="00F12EB0" w:rsidRDefault="00F12EB0" w:rsidP="000C3365">
      <w:pPr>
        <w:pStyle w:val="Ttulo2"/>
        <w:rPr>
          <w:rFonts w:asciiTheme="minorHAnsi" w:hAnsiTheme="minorHAnsi" w:cstheme="minorHAnsi"/>
          <w:b/>
          <w:color w:val="auto"/>
          <w:sz w:val="22"/>
        </w:rPr>
      </w:pPr>
      <w:bookmarkStart w:id="18" w:name="_Toc512416740"/>
    </w:p>
    <w:p w14:paraId="122A73D3"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01AA2BF0" w14:textId="77777777" w:rsidR="007D1E76" w:rsidRPr="00E74967" w:rsidRDefault="007D1E76" w:rsidP="00CB41C4">
      <w:pPr>
        <w:tabs>
          <w:tab w:val="left" w:leader="underscore" w:pos="9639"/>
        </w:tabs>
        <w:spacing w:after="0" w:line="240" w:lineRule="auto"/>
        <w:jc w:val="both"/>
        <w:rPr>
          <w:rFonts w:cs="Calibri"/>
        </w:rPr>
      </w:pPr>
    </w:p>
    <w:p w14:paraId="7864583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C987758"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0272FAE" w14:textId="77777777" w:rsidR="00D700BA" w:rsidRDefault="00D700BA" w:rsidP="000C3365">
      <w:pPr>
        <w:pStyle w:val="Ttulo2"/>
        <w:rPr>
          <w:rFonts w:asciiTheme="minorHAnsi" w:hAnsiTheme="minorHAnsi" w:cstheme="minorHAnsi"/>
          <w:b/>
          <w:color w:val="auto"/>
          <w:sz w:val="22"/>
        </w:rPr>
      </w:pPr>
      <w:bookmarkStart w:id="19" w:name="_Toc512416741"/>
    </w:p>
    <w:p w14:paraId="3A5CEF57"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9"/>
    </w:p>
    <w:p w14:paraId="1A56C13D" w14:textId="77777777" w:rsidR="00850A38" w:rsidRPr="00E74967" w:rsidRDefault="00850A38" w:rsidP="00CB41C4">
      <w:pPr>
        <w:tabs>
          <w:tab w:val="left" w:leader="underscore" w:pos="9639"/>
        </w:tabs>
        <w:spacing w:after="0" w:line="240" w:lineRule="auto"/>
        <w:jc w:val="both"/>
        <w:rPr>
          <w:rFonts w:cs="Calibri"/>
        </w:rPr>
      </w:pPr>
    </w:p>
    <w:p w14:paraId="0D3FF27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694586A3" w14:textId="77777777" w:rsidR="003B6AE8" w:rsidRPr="008878FA" w:rsidRDefault="003B6AE8" w:rsidP="003B6AE8">
      <w:pPr>
        <w:spacing w:after="0" w:line="240" w:lineRule="auto"/>
        <w:jc w:val="both"/>
        <w:rPr>
          <w:rFonts w:ascii="Trebuchet MS" w:hAnsi="Trebuchet MS"/>
          <w:sz w:val="20"/>
          <w:szCs w:val="20"/>
        </w:rPr>
      </w:pPr>
    </w:p>
    <w:p w14:paraId="2B4AF90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764044E7" w14:textId="362AEA26" w:rsidR="003B6AE8" w:rsidRPr="000D4817"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2021</w:t>
      </w:r>
      <w:r w:rsidRPr="000D4817">
        <w:rPr>
          <w:rFonts w:ascii="Trebuchet MS" w:hAnsi="Trebuchet MS"/>
          <w:sz w:val="20"/>
          <w:szCs w:val="20"/>
        </w:rPr>
        <w:t>”</w:t>
      </w:r>
    </w:p>
    <w:p w14:paraId="1AA0371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0F6D8FC6"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7931576C" w14:textId="77777777" w:rsidR="007D1E76" w:rsidRPr="000C3365" w:rsidRDefault="007D1E76" w:rsidP="000C3365">
      <w:pPr>
        <w:pStyle w:val="Ttulo2"/>
        <w:rPr>
          <w:rFonts w:asciiTheme="minorHAnsi" w:hAnsiTheme="minorHAnsi" w:cstheme="minorHAnsi"/>
          <w:b/>
          <w:color w:val="auto"/>
          <w:sz w:val="22"/>
        </w:rPr>
      </w:pPr>
      <w:bookmarkStart w:id="20"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74F3C8C9" w14:textId="77777777" w:rsidR="007D1E76" w:rsidRDefault="007D1E76" w:rsidP="00CB41C4">
      <w:pPr>
        <w:tabs>
          <w:tab w:val="left" w:leader="underscore" w:pos="9639"/>
        </w:tabs>
        <w:spacing w:after="0" w:line="240" w:lineRule="auto"/>
        <w:jc w:val="both"/>
        <w:rPr>
          <w:rFonts w:cs="Calibri"/>
        </w:rPr>
      </w:pPr>
    </w:p>
    <w:p w14:paraId="476ABF48"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6538F529" w14:textId="77777777" w:rsidR="00394CB4" w:rsidRPr="00E74967" w:rsidRDefault="00394CB4" w:rsidP="00CB41C4">
      <w:pPr>
        <w:tabs>
          <w:tab w:val="left" w:leader="underscore" w:pos="9639"/>
        </w:tabs>
        <w:spacing w:after="0" w:line="240" w:lineRule="auto"/>
        <w:jc w:val="both"/>
        <w:rPr>
          <w:rFonts w:cs="Calibri"/>
        </w:rPr>
      </w:pPr>
    </w:p>
    <w:p w14:paraId="178FDC1D" w14:textId="7E41ECD1" w:rsidR="007D1E76" w:rsidRPr="00620003" w:rsidRDefault="007D1E76" w:rsidP="00620003">
      <w:pPr>
        <w:pStyle w:val="Ttulo2"/>
        <w:rPr>
          <w:rFonts w:asciiTheme="minorHAnsi" w:hAnsiTheme="minorHAnsi" w:cstheme="minorHAnsi"/>
          <w:b/>
          <w:color w:val="auto"/>
          <w:sz w:val="22"/>
        </w:rPr>
      </w:pPr>
      <w:bookmarkStart w:id="21"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538B640F" w14:textId="1EC0E90D"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proceso </w:t>
      </w:r>
      <w:r w:rsidR="00847A66">
        <w:rPr>
          <w:rFonts w:ascii="Trebuchet MS" w:hAnsi="Trebuchet MS"/>
          <w:sz w:val="20"/>
          <w:szCs w:val="20"/>
        </w:rPr>
        <w:t>20</w:t>
      </w:r>
      <w:r w:rsidR="002E423D">
        <w:rPr>
          <w:rFonts w:ascii="Trebuchet MS" w:hAnsi="Trebuchet MS"/>
          <w:sz w:val="20"/>
          <w:szCs w:val="20"/>
        </w:rPr>
        <w:t>7</w:t>
      </w:r>
      <w:r>
        <w:rPr>
          <w:rFonts w:ascii="Trebuchet MS" w:hAnsi="Trebuchet MS"/>
          <w:sz w:val="20"/>
          <w:szCs w:val="20"/>
        </w:rPr>
        <w:t xml:space="preserve"> juicios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4EC9A4D1" w14:textId="77777777"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8A7F59"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14:paraId="4D444263"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14:paraId="4EB3ADA0"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5E18AEE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14:paraId="73FB0E0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015676F8"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14:paraId="6D1EB9C5"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F1775CA"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C4BA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14:paraId="1E3A1C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66AB13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361CCCA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14:paraId="09E384A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96" w:type="dxa"/>
            <w:tcBorders>
              <w:top w:val="nil"/>
              <w:left w:val="nil"/>
              <w:bottom w:val="single" w:sz="4" w:space="0" w:color="auto"/>
              <w:right w:val="single" w:sz="4" w:space="0" w:color="auto"/>
            </w:tcBorders>
            <w:shd w:val="clear" w:color="auto" w:fill="auto"/>
            <w:vAlign w:val="center"/>
            <w:hideMark/>
          </w:tcPr>
          <w:p w14:paraId="7863A7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2229F7E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3670797C"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20E94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14:paraId="045C70F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6965AA0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7C382B7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14:paraId="11E864D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14:paraId="1B71B2F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73EBC1A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037488BE"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3F159D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14:paraId="2D109E7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19C23C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0E148B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14:paraId="454674B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14:paraId="3AF8DC7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14:paraId="782D787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14:paraId="4E9D40E6"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AE8404"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14:paraId="4A0B60A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186A56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1585357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14:paraId="3261F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14:paraId="7327F01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14:paraId="5E3266C3"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FD96534"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1CF8D4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14:paraId="126B887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25F863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5ABD66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14:paraId="0C4DD82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216A58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07C230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693A2430"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20C4A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lastRenderedPageBreak/>
              <w:t>0531/2017</w:t>
            </w:r>
          </w:p>
        </w:tc>
        <w:tc>
          <w:tcPr>
            <w:tcW w:w="2029" w:type="dxa"/>
            <w:tcBorders>
              <w:top w:val="nil"/>
              <w:left w:val="nil"/>
              <w:bottom w:val="single" w:sz="4" w:space="0" w:color="auto"/>
              <w:right w:val="single" w:sz="4" w:space="0" w:color="auto"/>
            </w:tcBorders>
            <w:shd w:val="clear" w:color="auto" w:fill="auto"/>
            <w:vAlign w:val="center"/>
            <w:hideMark/>
          </w:tcPr>
          <w:p w14:paraId="7C8CCC4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0850C5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B36618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14:paraId="0047892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14:paraId="5365573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14:paraId="71D0903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2B13C91" w14:textId="77777777"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768B2F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14:paraId="54B9DBC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9305A5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F06DD0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14:paraId="55592CB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14:paraId="5915D2B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35413C4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D2326AD"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46D4DF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14:paraId="705399B2"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523C33A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A958BF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14:paraId="062772D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326CD84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14B2DF0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06080B3"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388F7C7C"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14:paraId="73A77F6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BCEA06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0EB71B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14:paraId="23758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14:paraId="6EA324D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03C825D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14:paraId="01361378" w14:textId="77777777" w:rsidR="00323566" w:rsidRPr="00E74967" w:rsidRDefault="00323566" w:rsidP="00323566">
      <w:pPr>
        <w:tabs>
          <w:tab w:val="left" w:leader="underscore" w:pos="9639"/>
        </w:tabs>
        <w:spacing w:after="0" w:line="240" w:lineRule="auto"/>
        <w:ind w:firstLine="709"/>
        <w:jc w:val="both"/>
        <w:rPr>
          <w:rFonts w:cs="Calibri"/>
        </w:rPr>
      </w:pPr>
    </w:p>
    <w:p w14:paraId="12959E2A" w14:textId="77777777" w:rsidR="007D1E76" w:rsidRPr="000C3365" w:rsidRDefault="005E231E" w:rsidP="000C3365">
      <w:pPr>
        <w:pStyle w:val="Ttulo2"/>
        <w:rPr>
          <w:rFonts w:asciiTheme="minorHAnsi" w:hAnsiTheme="minorHAnsi" w:cstheme="minorHAnsi"/>
          <w:b/>
          <w:color w:val="auto"/>
          <w:sz w:val="22"/>
        </w:rPr>
      </w:pPr>
      <w:bookmarkStart w:id="22" w:name="_Toc512416744"/>
      <w:r w:rsidRPr="000C3365">
        <w:rPr>
          <w:rFonts w:asciiTheme="minorHAnsi" w:hAnsiTheme="minorHAnsi" w:cstheme="minorHAnsi"/>
          <w:b/>
          <w:color w:val="auto"/>
          <w:sz w:val="22"/>
        </w:rPr>
        <w:t>16. Partes Relacionadas:</w:t>
      </w:r>
      <w:bookmarkEnd w:id="22"/>
    </w:p>
    <w:p w14:paraId="10E17440" w14:textId="77777777" w:rsidR="007D1E76" w:rsidRPr="00E74967" w:rsidRDefault="007D1E76" w:rsidP="00CB41C4">
      <w:pPr>
        <w:tabs>
          <w:tab w:val="left" w:leader="underscore" w:pos="9639"/>
        </w:tabs>
        <w:spacing w:after="0" w:line="240" w:lineRule="auto"/>
        <w:jc w:val="both"/>
        <w:rPr>
          <w:rFonts w:cs="Calibri"/>
        </w:rPr>
      </w:pPr>
    </w:p>
    <w:p w14:paraId="343562B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7F184BFF" w14:textId="77777777" w:rsidR="003E0524" w:rsidRDefault="003E0524" w:rsidP="00F46719">
      <w:pPr>
        <w:pStyle w:val="Ttulo2"/>
        <w:rPr>
          <w:rFonts w:asciiTheme="minorHAnsi" w:hAnsiTheme="minorHAnsi" w:cstheme="minorHAnsi"/>
          <w:b/>
          <w:color w:val="auto"/>
          <w:sz w:val="22"/>
        </w:rPr>
      </w:pPr>
      <w:bookmarkStart w:id="23" w:name="_Toc512416745"/>
    </w:p>
    <w:p w14:paraId="62286B76"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43AF6CCD" w14:textId="77777777" w:rsidR="007D1E76" w:rsidRPr="00E74967" w:rsidRDefault="007D1E76" w:rsidP="00CB41C4">
      <w:pPr>
        <w:tabs>
          <w:tab w:val="left" w:leader="underscore" w:pos="9639"/>
        </w:tabs>
        <w:spacing w:after="0" w:line="240" w:lineRule="auto"/>
        <w:jc w:val="both"/>
        <w:rPr>
          <w:rFonts w:cs="Calibri"/>
        </w:rPr>
      </w:pPr>
    </w:p>
    <w:p w14:paraId="3BEDD3A2"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DDCBB8E" w14:textId="242AD51E" w:rsidR="007610BC" w:rsidRDefault="007610BC" w:rsidP="00E767D0">
      <w:pPr>
        <w:tabs>
          <w:tab w:val="left" w:leader="underscore" w:pos="9639"/>
        </w:tabs>
        <w:spacing w:after="0" w:line="240" w:lineRule="auto"/>
        <w:jc w:val="both"/>
        <w:rPr>
          <w:rFonts w:cs="Calibri"/>
        </w:rPr>
      </w:pPr>
    </w:p>
    <w:p w14:paraId="1A3EAA01" w14:textId="710CB47D"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498BC076" w14:textId="77777777" w:rsidTr="00950433">
        <w:tc>
          <w:tcPr>
            <w:tcW w:w="4310" w:type="dxa"/>
            <w:tcBorders>
              <w:top w:val="single" w:sz="4" w:space="0" w:color="auto"/>
            </w:tcBorders>
          </w:tcPr>
          <w:p w14:paraId="5D6B82F4"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Jorge Alberto Romero Hidalgo</w:t>
            </w:r>
          </w:p>
        </w:tc>
        <w:tc>
          <w:tcPr>
            <w:tcW w:w="1058" w:type="dxa"/>
          </w:tcPr>
          <w:p w14:paraId="008BA05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0793BB79"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26F10BD5" w14:textId="77777777" w:rsidTr="00950433">
        <w:tc>
          <w:tcPr>
            <w:tcW w:w="4310" w:type="dxa"/>
          </w:tcPr>
          <w:p w14:paraId="11635A5B"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2B8E0B02" w14:textId="77777777" w:rsidR="00950433" w:rsidRPr="00190C43" w:rsidRDefault="00950433" w:rsidP="00950433">
            <w:pPr>
              <w:rPr>
                <w:rFonts w:ascii="Arial" w:hAnsi="Arial" w:cs="Arial"/>
                <w:sz w:val="18"/>
                <w:szCs w:val="20"/>
              </w:rPr>
            </w:pPr>
          </w:p>
        </w:tc>
        <w:tc>
          <w:tcPr>
            <w:tcW w:w="4320" w:type="dxa"/>
          </w:tcPr>
          <w:p w14:paraId="03491D2D"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0F750E3B"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B9083" w14:textId="77777777" w:rsidR="00582524" w:rsidRDefault="00582524" w:rsidP="00E00323">
      <w:pPr>
        <w:spacing w:after="0" w:line="240" w:lineRule="auto"/>
      </w:pPr>
      <w:r>
        <w:separator/>
      </w:r>
    </w:p>
  </w:endnote>
  <w:endnote w:type="continuationSeparator" w:id="0">
    <w:p w14:paraId="0F20D9E2" w14:textId="77777777" w:rsidR="00582524" w:rsidRDefault="0058252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1ECDC" w14:textId="77777777" w:rsidR="00582524" w:rsidRDefault="00582524" w:rsidP="00E00323">
      <w:pPr>
        <w:spacing w:after="0" w:line="240" w:lineRule="auto"/>
      </w:pPr>
      <w:r>
        <w:separator/>
      </w:r>
    </w:p>
  </w:footnote>
  <w:footnote w:type="continuationSeparator" w:id="0">
    <w:p w14:paraId="7058D1AA" w14:textId="77777777" w:rsidR="00582524" w:rsidRDefault="0058252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C98C9" w14:textId="77777777" w:rsidR="00950433" w:rsidRDefault="00950433" w:rsidP="00A4610E">
    <w:pPr>
      <w:pStyle w:val="Encabezado"/>
      <w:spacing w:after="0" w:line="240" w:lineRule="auto"/>
      <w:jc w:val="center"/>
    </w:pPr>
    <w:r>
      <w:t>Universidad de Guanajuato</w:t>
    </w:r>
  </w:p>
  <w:p w14:paraId="60EE1369" w14:textId="25E902DD" w:rsidR="00950433" w:rsidRDefault="00950433" w:rsidP="00A4610E">
    <w:pPr>
      <w:pStyle w:val="Encabezado"/>
      <w:spacing w:after="0" w:line="240" w:lineRule="auto"/>
      <w:jc w:val="center"/>
    </w:pPr>
    <w:r w:rsidRPr="00A4610E">
      <w:t>CORRESPONDI</w:t>
    </w:r>
    <w:r>
      <w:t>E</w:t>
    </w:r>
    <w:r w:rsidRPr="00A4610E">
      <w:t xml:space="preserve">NTES AL </w:t>
    </w:r>
    <w:r w:rsidR="00720295">
      <w:t>30 DE JUNIO</w:t>
    </w:r>
    <w:r>
      <w:t xml:space="preserve">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4817"/>
    <w:rsid w:val="000D7E4C"/>
    <w:rsid w:val="000E1EDA"/>
    <w:rsid w:val="000F2325"/>
    <w:rsid w:val="000F40BB"/>
    <w:rsid w:val="000F4D4D"/>
    <w:rsid w:val="00100F14"/>
    <w:rsid w:val="0012405A"/>
    <w:rsid w:val="00126988"/>
    <w:rsid w:val="00137A19"/>
    <w:rsid w:val="00140E5B"/>
    <w:rsid w:val="00142834"/>
    <w:rsid w:val="00146ED1"/>
    <w:rsid w:val="00154BA3"/>
    <w:rsid w:val="001973A2"/>
    <w:rsid w:val="001A6240"/>
    <w:rsid w:val="001C75F2"/>
    <w:rsid w:val="001D2063"/>
    <w:rsid w:val="001D43E9"/>
    <w:rsid w:val="001D7550"/>
    <w:rsid w:val="001E43D4"/>
    <w:rsid w:val="001F3656"/>
    <w:rsid w:val="001F6CAD"/>
    <w:rsid w:val="002036C4"/>
    <w:rsid w:val="00206DC4"/>
    <w:rsid w:val="00212B65"/>
    <w:rsid w:val="00237775"/>
    <w:rsid w:val="00251124"/>
    <w:rsid w:val="002534D6"/>
    <w:rsid w:val="002560C2"/>
    <w:rsid w:val="00260F36"/>
    <w:rsid w:val="00274019"/>
    <w:rsid w:val="00277AD8"/>
    <w:rsid w:val="002D24DB"/>
    <w:rsid w:val="002E423D"/>
    <w:rsid w:val="003232C5"/>
    <w:rsid w:val="00323566"/>
    <w:rsid w:val="00323E1A"/>
    <w:rsid w:val="003324BB"/>
    <w:rsid w:val="0034260C"/>
    <w:rsid w:val="003453CA"/>
    <w:rsid w:val="003477A1"/>
    <w:rsid w:val="003619FD"/>
    <w:rsid w:val="0037113F"/>
    <w:rsid w:val="0038407A"/>
    <w:rsid w:val="0039395F"/>
    <w:rsid w:val="00394CB4"/>
    <w:rsid w:val="003A4356"/>
    <w:rsid w:val="003B6AE8"/>
    <w:rsid w:val="003C0769"/>
    <w:rsid w:val="003C4A0C"/>
    <w:rsid w:val="003C7307"/>
    <w:rsid w:val="003E0524"/>
    <w:rsid w:val="003F14A4"/>
    <w:rsid w:val="00413556"/>
    <w:rsid w:val="0042063B"/>
    <w:rsid w:val="00430E27"/>
    <w:rsid w:val="00435A87"/>
    <w:rsid w:val="00435B86"/>
    <w:rsid w:val="004508FE"/>
    <w:rsid w:val="00454690"/>
    <w:rsid w:val="00460DA3"/>
    <w:rsid w:val="0049465C"/>
    <w:rsid w:val="004A00C6"/>
    <w:rsid w:val="004A58C8"/>
    <w:rsid w:val="00524425"/>
    <w:rsid w:val="0054079E"/>
    <w:rsid w:val="0054698B"/>
    <w:rsid w:val="0054701E"/>
    <w:rsid w:val="00573794"/>
    <w:rsid w:val="00582524"/>
    <w:rsid w:val="005D3E43"/>
    <w:rsid w:val="005E231E"/>
    <w:rsid w:val="005F1446"/>
    <w:rsid w:val="006069B4"/>
    <w:rsid w:val="00606B32"/>
    <w:rsid w:val="00620003"/>
    <w:rsid w:val="00620194"/>
    <w:rsid w:val="006226EC"/>
    <w:rsid w:val="006353E5"/>
    <w:rsid w:val="006417EE"/>
    <w:rsid w:val="00655E1C"/>
    <w:rsid w:val="00657009"/>
    <w:rsid w:val="00665F03"/>
    <w:rsid w:val="00681C79"/>
    <w:rsid w:val="00683BAD"/>
    <w:rsid w:val="00690CBD"/>
    <w:rsid w:val="006B4CA7"/>
    <w:rsid w:val="006B508C"/>
    <w:rsid w:val="006C3B65"/>
    <w:rsid w:val="006E23B6"/>
    <w:rsid w:val="006E6A73"/>
    <w:rsid w:val="00720295"/>
    <w:rsid w:val="00746F75"/>
    <w:rsid w:val="00755BC0"/>
    <w:rsid w:val="00757875"/>
    <w:rsid w:val="007610BC"/>
    <w:rsid w:val="007714AB"/>
    <w:rsid w:val="007B2DFD"/>
    <w:rsid w:val="007C2915"/>
    <w:rsid w:val="007D1E76"/>
    <w:rsid w:val="007D2791"/>
    <w:rsid w:val="007D4484"/>
    <w:rsid w:val="007F6C19"/>
    <w:rsid w:val="008329E4"/>
    <w:rsid w:val="00833382"/>
    <w:rsid w:val="00847A66"/>
    <w:rsid w:val="00850A38"/>
    <w:rsid w:val="00850AB2"/>
    <w:rsid w:val="00860B91"/>
    <w:rsid w:val="0086459F"/>
    <w:rsid w:val="00884090"/>
    <w:rsid w:val="00892437"/>
    <w:rsid w:val="00894775"/>
    <w:rsid w:val="008A5B97"/>
    <w:rsid w:val="008C3BB8"/>
    <w:rsid w:val="008E076C"/>
    <w:rsid w:val="00900542"/>
    <w:rsid w:val="00920FA5"/>
    <w:rsid w:val="0092765C"/>
    <w:rsid w:val="00931BDF"/>
    <w:rsid w:val="00937911"/>
    <w:rsid w:val="00945D0C"/>
    <w:rsid w:val="00950433"/>
    <w:rsid w:val="00955343"/>
    <w:rsid w:val="00974C86"/>
    <w:rsid w:val="00974FF2"/>
    <w:rsid w:val="0097629B"/>
    <w:rsid w:val="009879F5"/>
    <w:rsid w:val="00995BFF"/>
    <w:rsid w:val="009A558B"/>
    <w:rsid w:val="009B6BDC"/>
    <w:rsid w:val="009D5F7F"/>
    <w:rsid w:val="009E10A6"/>
    <w:rsid w:val="009E237F"/>
    <w:rsid w:val="00A104CE"/>
    <w:rsid w:val="00A21B43"/>
    <w:rsid w:val="00A21FBC"/>
    <w:rsid w:val="00A31213"/>
    <w:rsid w:val="00A315C0"/>
    <w:rsid w:val="00A362A9"/>
    <w:rsid w:val="00A4610E"/>
    <w:rsid w:val="00A65887"/>
    <w:rsid w:val="00A67662"/>
    <w:rsid w:val="00A730E0"/>
    <w:rsid w:val="00A7339A"/>
    <w:rsid w:val="00A85742"/>
    <w:rsid w:val="00A87D93"/>
    <w:rsid w:val="00A92392"/>
    <w:rsid w:val="00AA41E5"/>
    <w:rsid w:val="00AB722B"/>
    <w:rsid w:val="00AE1F6A"/>
    <w:rsid w:val="00AE7B00"/>
    <w:rsid w:val="00B01533"/>
    <w:rsid w:val="00B437E2"/>
    <w:rsid w:val="00B60103"/>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E5807"/>
    <w:rsid w:val="00CF1316"/>
    <w:rsid w:val="00D040F4"/>
    <w:rsid w:val="00D06856"/>
    <w:rsid w:val="00D13C44"/>
    <w:rsid w:val="00D16BBE"/>
    <w:rsid w:val="00D700BA"/>
    <w:rsid w:val="00D71A7B"/>
    <w:rsid w:val="00D83FA0"/>
    <w:rsid w:val="00D975B1"/>
    <w:rsid w:val="00DD64CB"/>
    <w:rsid w:val="00E00323"/>
    <w:rsid w:val="00E02BF2"/>
    <w:rsid w:val="00E41145"/>
    <w:rsid w:val="00E46A36"/>
    <w:rsid w:val="00E5213C"/>
    <w:rsid w:val="00E74967"/>
    <w:rsid w:val="00E767D0"/>
    <w:rsid w:val="00E96732"/>
    <w:rsid w:val="00EA37F5"/>
    <w:rsid w:val="00EA7915"/>
    <w:rsid w:val="00EB56C3"/>
    <w:rsid w:val="00EE75B7"/>
    <w:rsid w:val="00EF5061"/>
    <w:rsid w:val="00F00E27"/>
    <w:rsid w:val="00F10D4C"/>
    <w:rsid w:val="00F12EB0"/>
    <w:rsid w:val="00F46719"/>
    <w:rsid w:val="00F54F6F"/>
    <w:rsid w:val="00F72D02"/>
    <w:rsid w:val="00F9086B"/>
    <w:rsid w:val="00FB4325"/>
    <w:rsid w:val="00FC3159"/>
    <w:rsid w:val="00FD2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7912B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FD43FF-79CC-4291-B3BC-401A838B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4835</Words>
  <Characters>26594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31367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7</cp:revision>
  <cp:lastPrinted>2021-04-29T16:44:00Z</cp:lastPrinted>
  <dcterms:created xsi:type="dcterms:W3CDTF">2021-04-29T16:48:00Z</dcterms:created>
  <dcterms:modified xsi:type="dcterms:W3CDTF">2021-07-28T16:04:00Z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