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1AFC" w:rsidRDefault="00C700A4" w:rsidP="00491AFC">
      <w:pPr>
        <w:spacing w:after="0" w:line="240" w:lineRule="auto"/>
        <w:jc w:val="center"/>
        <w:rPr>
          <w:rFonts w:ascii="Arial" w:hAnsi="Arial" w:cs="Arial"/>
          <w:b/>
          <w:color w:val="0070C0"/>
          <w:sz w:val="24"/>
          <w:szCs w:val="21"/>
          <w:shd w:val="clear" w:color="auto" w:fill="FFFFFF"/>
        </w:rPr>
      </w:pPr>
      <w:r w:rsidRPr="004E025F">
        <w:rPr>
          <w:rFonts w:ascii="Arial" w:hAnsi="Arial" w:cs="Arial"/>
          <w:b/>
          <w:color w:val="0070C0"/>
          <w:sz w:val="24"/>
          <w:szCs w:val="21"/>
          <w:shd w:val="clear" w:color="auto" w:fill="FFFFFF"/>
        </w:rPr>
        <w:t>Resultado Evaluación Desempeño</w:t>
      </w:r>
    </w:p>
    <w:p w:rsidR="00491AFC" w:rsidRPr="00491AFC" w:rsidRDefault="00491AFC" w:rsidP="00491AFC">
      <w:pPr>
        <w:spacing w:after="0" w:line="240" w:lineRule="auto"/>
        <w:jc w:val="center"/>
        <w:rPr>
          <w:rFonts w:ascii="Arial" w:hAnsi="Arial" w:cs="Arial"/>
          <w:b/>
          <w:color w:val="0070C0"/>
          <w:sz w:val="24"/>
          <w:szCs w:val="21"/>
          <w:shd w:val="clear" w:color="auto" w:fill="FFFFFF"/>
        </w:rPr>
      </w:pPr>
      <w:r w:rsidRPr="00491AFC">
        <w:rPr>
          <w:rFonts w:ascii="Arial" w:hAnsi="Arial" w:cs="Arial"/>
          <w:b/>
          <w:color w:val="0070C0"/>
          <w:sz w:val="24"/>
          <w:szCs w:val="21"/>
          <w:shd w:val="clear" w:color="auto" w:fill="FFFFFF"/>
        </w:rPr>
        <w:t>Universidad de Guanajuato</w:t>
      </w:r>
    </w:p>
    <w:p w:rsidR="00491AFC" w:rsidRPr="00491AFC" w:rsidRDefault="00491AFC" w:rsidP="00491AFC">
      <w:pPr>
        <w:spacing w:after="0" w:line="240" w:lineRule="auto"/>
        <w:jc w:val="center"/>
        <w:rPr>
          <w:rFonts w:ascii="Arial" w:hAnsi="Arial" w:cs="Arial"/>
          <w:b/>
          <w:color w:val="0070C0"/>
          <w:sz w:val="24"/>
          <w:szCs w:val="21"/>
          <w:shd w:val="clear" w:color="auto" w:fill="FFFFFF"/>
        </w:rPr>
      </w:pPr>
      <w:r w:rsidRPr="00491AFC">
        <w:rPr>
          <w:rFonts w:ascii="Arial" w:hAnsi="Arial" w:cs="Arial"/>
          <w:b/>
          <w:color w:val="0070C0"/>
          <w:sz w:val="24"/>
          <w:szCs w:val="21"/>
          <w:shd w:val="clear" w:color="auto" w:fill="FFFFFF"/>
        </w:rPr>
        <w:t xml:space="preserve">Informe </w:t>
      </w:r>
      <w:r w:rsidRPr="00491AFC">
        <w:rPr>
          <w:rFonts w:ascii="Arial" w:hAnsi="Arial" w:cs="Arial"/>
          <w:b/>
          <w:color w:val="0070C0"/>
          <w:sz w:val="24"/>
          <w:szCs w:val="21"/>
          <w:shd w:val="clear" w:color="auto" w:fill="FFFFFF"/>
        </w:rPr>
        <w:t>3er.</w:t>
      </w:r>
      <w:r w:rsidRPr="00491AFC">
        <w:rPr>
          <w:rFonts w:ascii="Arial" w:hAnsi="Arial" w:cs="Arial"/>
          <w:b/>
          <w:color w:val="0070C0"/>
          <w:sz w:val="24"/>
          <w:szCs w:val="21"/>
          <w:shd w:val="clear" w:color="auto" w:fill="FFFFFF"/>
        </w:rPr>
        <w:t xml:space="preserve"> Trimestre 2018</w:t>
      </w:r>
    </w:p>
    <w:p w:rsidR="005E3B5E" w:rsidRPr="004E025F" w:rsidRDefault="005E3B5E" w:rsidP="00491AFC">
      <w:pPr>
        <w:spacing w:after="0" w:line="240" w:lineRule="auto"/>
        <w:jc w:val="center"/>
        <w:rPr>
          <w:rFonts w:ascii="Arial" w:hAnsi="Arial" w:cs="Arial"/>
          <w:b/>
          <w:color w:val="0070C0"/>
          <w:sz w:val="24"/>
          <w:szCs w:val="21"/>
          <w:shd w:val="clear" w:color="auto" w:fill="FFFFFF"/>
        </w:rPr>
      </w:pPr>
    </w:p>
    <w:p w:rsidR="00715CE4" w:rsidRPr="004E7638" w:rsidRDefault="005E3B5E" w:rsidP="002D4387">
      <w:pPr>
        <w:jc w:val="both"/>
        <w:rPr>
          <w:rFonts w:ascii="Arial" w:hAnsi="Arial" w:cs="Arial"/>
          <w:color w:val="333333"/>
          <w:sz w:val="20"/>
          <w:szCs w:val="21"/>
          <w:shd w:val="clear" w:color="auto" w:fill="FFFFFF"/>
        </w:rPr>
      </w:pPr>
      <w:r w:rsidRPr="004E7638">
        <w:rPr>
          <w:rFonts w:ascii="Arial" w:hAnsi="Arial" w:cs="Arial"/>
          <w:color w:val="333333"/>
          <w:sz w:val="20"/>
          <w:szCs w:val="21"/>
          <w:shd w:val="clear" w:color="auto" w:fill="FFFFFF"/>
        </w:rPr>
        <w:t>De acuerdo con el Art.54 de la Ley General de Contabilidad Gubernamental, la información presupuestaria y programática que forme parte de la cuenta pública deberá relacionarse, en lo conducente, con los objetivos y prioridades de la planeación del desarrollo. Asimismo, deberá incluir los resultados de la evaluación del desempeño de los programas federales, así como los vinculados al ejercicio de los recursos federales que les hayan sido tran</w:t>
      </w:r>
      <w:r w:rsidR="00590109" w:rsidRPr="004E7638">
        <w:rPr>
          <w:rFonts w:ascii="Arial" w:hAnsi="Arial" w:cs="Arial"/>
          <w:color w:val="333333"/>
          <w:sz w:val="20"/>
          <w:szCs w:val="21"/>
          <w:shd w:val="clear" w:color="auto" w:fill="FFFFFF"/>
        </w:rPr>
        <w:t>sferidos.</w:t>
      </w:r>
      <w:r w:rsidR="00FE41AB">
        <w:rPr>
          <w:rFonts w:ascii="Arial" w:hAnsi="Arial" w:cs="Arial"/>
          <w:color w:val="333333"/>
          <w:sz w:val="20"/>
          <w:szCs w:val="21"/>
          <w:shd w:val="clear" w:color="auto" w:fill="FFFFFF"/>
        </w:rPr>
        <w:t xml:space="preserve"> Atendiendo a lo anterior, se informa el avance de los siguientes programas:</w:t>
      </w:r>
    </w:p>
    <w:tbl>
      <w:tblPr>
        <w:tblStyle w:val="Tablaconcuadrcula4-nfasis1"/>
        <w:tblW w:w="6820" w:type="dxa"/>
        <w:jc w:val="center"/>
        <w:tblLook w:val="0620" w:firstRow="1" w:lastRow="0" w:firstColumn="0" w:lastColumn="0" w:noHBand="1" w:noVBand="1"/>
      </w:tblPr>
      <w:tblGrid>
        <w:gridCol w:w="1680"/>
        <w:gridCol w:w="5140"/>
      </w:tblGrid>
      <w:tr w:rsidR="00715CE4" w:rsidRPr="0078238A" w:rsidTr="00535CFD">
        <w:trPr>
          <w:cnfStyle w:val="100000000000" w:firstRow="1" w:lastRow="0" w:firstColumn="0" w:lastColumn="0" w:oddVBand="0" w:evenVBand="0" w:oddHBand="0" w:evenHBand="0" w:firstRowFirstColumn="0" w:firstRowLastColumn="0" w:lastRowFirstColumn="0" w:lastRowLastColumn="0"/>
          <w:trHeight w:val="300"/>
          <w:jc w:val="center"/>
        </w:trPr>
        <w:tc>
          <w:tcPr>
            <w:tcW w:w="1680" w:type="dxa"/>
            <w:tcBorders>
              <w:bottom w:val="single" w:sz="4" w:space="0" w:color="000000"/>
            </w:tcBorders>
            <w:shd w:val="clear" w:color="auto" w:fill="002060"/>
            <w:noWrap/>
          </w:tcPr>
          <w:p w:rsidR="00715CE4" w:rsidRPr="00715CE4" w:rsidRDefault="00715CE4" w:rsidP="00715CE4">
            <w:pPr>
              <w:spacing w:after="0" w:line="240" w:lineRule="auto"/>
              <w:rPr>
                <w:rFonts w:eastAsia="Times New Roman" w:cs="Calibri"/>
                <w:sz w:val="20"/>
                <w:szCs w:val="20"/>
                <w:lang w:eastAsia="es-MX"/>
              </w:rPr>
            </w:pPr>
            <w:r w:rsidRPr="0078238A">
              <w:rPr>
                <w:rFonts w:eastAsia="Times New Roman" w:cs="Calibri"/>
                <w:sz w:val="20"/>
                <w:szCs w:val="20"/>
                <w:lang w:eastAsia="es-MX"/>
              </w:rPr>
              <w:t>Código</w:t>
            </w:r>
          </w:p>
        </w:tc>
        <w:tc>
          <w:tcPr>
            <w:tcW w:w="5140" w:type="dxa"/>
            <w:tcBorders>
              <w:bottom w:val="single" w:sz="4" w:space="0" w:color="000000"/>
            </w:tcBorders>
            <w:shd w:val="clear" w:color="auto" w:fill="002060"/>
            <w:noWrap/>
          </w:tcPr>
          <w:p w:rsidR="00715CE4" w:rsidRPr="00715CE4" w:rsidRDefault="00715CE4" w:rsidP="00715CE4">
            <w:pPr>
              <w:spacing w:after="0" w:line="240" w:lineRule="auto"/>
              <w:rPr>
                <w:rFonts w:eastAsia="Times New Roman" w:cs="Calibri"/>
                <w:sz w:val="20"/>
                <w:szCs w:val="20"/>
                <w:lang w:eastAsia="es-MX"/>
              </w:rPr>
            </w:pPr>
            <w:r w:rsidRPr="0078238A">
              <w:rPr>
                <w:rFonts w:eastAsia="Times New Roman" w:cs="Calibri"/>
                <w:sz w:val="20"/>
                <w:szCs w:val="20"/>
                <w:lang w:eastAsia="es-MX"/>
              </w:rPr>
              <w:t>Programa</w:t>
            </w:r>
          </w:p>
        </w:tc>
      </w:tr>
      <w:tr w:rsidR="00715CE4" w:rsidRPr="0078238A" w:rsidTr="00535CFD">
        <w:trPr>
          <w:trHeight w:val="300"/>
          <w:jc w:val="center"/>
        </w:trPr>
        <w:tc>
          <w:tcPr>
            <w:tcW w:w="1680" w:type="dxa"/>
            <w:tcBorders>
              <w:top w:val="single" w:sz="4" w:space="0" w:color="000000"/>
              <w:left w:val="single" w:sz="4" w:space="0" w:color="000000"/>
              <w:bottom w:val="single" w:sz="4" w:space="0" w:color="000000"/>
              <w:right w:val="single" w:sz="4" w:space="0" w:color="000000"/>
            </w:tcBorders>
            <w:noWrap/>
          </w:tcPr>
          <w:p w:rsidR="00715CE4" w:rsidRPr="00715CE4" w:rsidRDefault="00715CE4" w:rsidP="00715CE4">
            <w:pPr>
              <w:spacing w:after="0" w:line="240" w:lineRule="auto"/>
              <w:rPr>
                <w:rFonts w:eastAsia="Times New Roman" w:cs="Calibri"/>
                <w:color w:val="000000"/>
                <w:sz w:val="20"/>
                <w:szCs w:val="20"/>
                <w:lang w:eastAsia="es-MX"/>
              </w:rPr>
            </w:pPr>
            <w:r w:rsidRPr="00715CE4">
              <w:rPr>
                <w:rFonts w:eastAsia="Times New Roman" w:cs="Calibri"/>
                <w:color w:val="000000"/>
                <w:sz w:val="20"/>
                <w:szCs w:val="20"/>
                <w:lang w:eastAsia="es-MX"/>
              </w:rPr>
              <w:t>U081</w:t>
            </w:r>
          </w:p>
        </w:tc>
        <w:tc>
          <w:tcPr>
            <w:tcW w:w="5140" w:type="dxa"/>
            <w:tcBorders>
              <w:top w:val="single" w:sz="4" w:space="0" w:color="000000"/>
              <w:left w:val="single" w:sz="4" w:space="0" w:color="000000"/>
              <w:bottom w:val="single" w:sz="4" w:space="0" w:color="000000"/>
              <w:right w:val="single" w:sz="4" w:space="0" w:color="000000"/>
            </w:tcBorders>
            <w:noWrap/>
          </w:tcPr>
          <w:p w:rsidR="00715CE4" w:rsidRPr="00715CE4" w:rsidRDefault="00715CE4" w:rsidP="00715CE4">
            <w:pPr>
              <w:spacing w:after="0" w:line="240" w:lineRule="auto"/>
              <w:rPr>
                <w:rFonts w:eastAsia="Times New Roman" w:cs="Calibri"/>
                <w:color w:val="000000"/>
                <w:sz w:val="20"/>
                <w:szCs w:val="20"/>
                <w:lang w:eastAsia="es-MX"/>
              </w:rPr>
            </w:pPr>
            <w:r w:rsidRPr="00715CE4">
              <w:rPr>
                <w:rFonts w:eastAsia="Times New Roman" w:cs="Calibri"/>
                <w:color w:val="000000"/>
                <w:sz w:val="20"/>
                <w:szCs w:val="20"/>
                <w:lang w:eastAsia="es-MX"/>
              </w:rPr>
              <w:t>Reformas Estructurales</w:t>
            </w:r>
          </w:p>
        </w:tc>
      </w:tr>
      <w:tr w:rsidR="00715CE4" w:rsidRPr="00715CE4" w:rsidTr="00535CFD">
        <w:trPr>
          <w:trHeight w:val="300"/>
          <w:jc w:val="center"/>
        </w:trPr>
        <w:tc>
          <w:tcPr>
            <w:tcW w:w="1680" w:type="dxa"/>
            <w:tcBorders>
              <w:top w:val="single" w:sz="4" w:space="0" w:color="000000"/>
              <w:left w:val="single" w:sz="4" w:space="0" w:color="000000"/>
              <w:bottom w:val="single" w:sz="4" w:space="0" w:color="000000"/>
              <w:right w:val="single" w:sz="4" w:space="0" w:color="000000"/>
            </w:tcBorders>
            <w:noWrap/>
            <w:hideMark/>
          </w:tcPr>
          <w:p w:rsidR="00715CE4" w:rsidRPr="00715CE4" w:rsidRDefault="00715CE4" w:rsidP="00715CE4">
            <w:pPr>
              <w:spacing w:after="0" w:line="240" w:lineRule="auto"/>
              <w:rPr>
                <w:rFonts w:eastAsia="Times New Roman" w:cs="Calibri"/>
                <w:color w:val="000000"/>
                <w:sz w:val="20"/>
                <w:szCs w:val="20"/>
                <w:lang w:eastAsia="es-MX"/>
              </w:rPr>
            </w:pPr>
            <w:r w:rsidRPr="00715CE4">
              <w:rPr>
                <w:rFonts w:eastAsia="Times New Roman" w:cs="Calibri"/>
                <w:color w:val="000000"/>
                <w:sz w:val="20"/>
                <w:szCs w:val="20"/>
                <w:lang w:eastAsia="es-MX"/>
              </w:rPr>
              <w:t>S247 (PRODEP)</w:t>
            </w:r>
          </w:p>
        </w:tc>
        <w:tc>
          <w:tcPr>
            <w:tcW w:w="5140" w:type="dxa"/>
            <w:tcBorders>
              <w:top w:val="single" w:sz="4" w:space="0" w:color="000000"/>
              <w:left w:val="single" w:sz="4" w:space="0" w:color="000000"/>
              <w:bottom w:val="single" w:sz="4" w:space="0" w:color="000000"/>
              <w:right w:val="single" w:sz="4" w:space="0" w:color="000000"/>
            </w:tcBorders>
            <w:noWrap/>
            <w:hideMark/>
          </w:tcPr>
          <w:p w:rsidR="00715CE4" w:rsidRPr="00715CE4" w:rsidRDefault="00715CE4" w:rsidP="00715CE4">
            <w:pPr>
              <w:spacing w:after="0" w:line="240" w:lineRule="auto"/>
              <w:rPr>
                <w:rFonts w:eastAsia="Times New Roman" w:cs="Calibri"/>
                <w:color w:val="000000"/>
                <w:sz w:val="20"/>
                <w:szCs w:val="20"/>
                <w:lang w:eastAsia="es-MX"/>
              </w:rPr>
            </w:pPr>
            <w:r w:rsidRPr="00715CE4">
              <w:rPr>
                <w:rFonts w:eastAsia="Times New Roman" w:cs="Calibri"/>
                <w:color w:val="000000"/>
                <w:sz w:val="20"/>
                <w:szCs w:val="20"/>
                <w:lang w:eastAsia="es-MX"/>
              </w:rPr>
              <w:t>Programa para el Desarrollo Profesional Docente</w:t>
            </w:r>
          </w:p>
        </w:tc>
      </w:tr>
      <w:tr w:rsidR="00715CE4" w:rsidRPr="00715CE4" w:rsidTr="00535CFD">
        <w:trPr>
          <w:trHeight w:val="300"/>
          <w:jc w:val="center"/>
        </w:trPr>
        <w:tc>
          <w:tcPr>
            <w:tcW w:w="1680" w:type="dxa"/>
            <w:tcBorders>
              <w:top w:val="single" w:sz="4" w:space="0" w:color="000000"/>
              <w:left w:val="single" w:sz="4" w:space="0" w:color="000000"/>
              <w:bottom w:val="single" w:sz="4" w:space="0" w:color="000000"/>
              <w:right w:val="single" w:sz="4" w:space="0" w:color="000000"/>
            </w:tcBorders>
            <w:noWrap/>
            <w:hideMark/>
          </w:tcPr>
          <w:p w:rsidR="00715CE4" w:rsidRPr="00715CE4" w:rsidRDefault="00715CE4" w:rsidP="00715CE4">
            <w:pPr>
              <w:spacing w:after="0" w:line="240" w:lineRule="auto"/>
              <w:rPr>
                <w:rFonts w:eastAsia="Times New Roman" w:cs="Calibri"/>
                <w:color w:val="000000"/>
                <w:sz w:val="20"/>
                <w:szCs w:val="20"/>
                <w:lang w:eastAsia="es-MX"/>
              </w:rPr>
            </w:pPr>
            <w:r w:rsidRPr="00715CE4">
              <w:rPr>
                <w:rFonts w:eastAsia="Times New Roman" w:cs="Calibri"/>
                <w:color w:val="000000"/>
                <w:sz w:val="20"/>
                <w:szCs w:val="20"/>
                <w:lang w:eastAsia="es-MX"/>
              </w:rPr>
              <w:t>S267 (PFCE)</w:t>
            </w:r>
          </w:p>
        </w:tc>
        <w:tc>
          <w:tcPr>
            <w:tcW w:w="5140" w:type="dxa"/>
            <w:tcBorders>
              <w:top w:val="single" w:sz="4" w:space="0" w:color="000000"/>
              <w:left w:val="single" w:sz="4" w:space="0" w:color="000000"/>
              <w:bottom w:val="single" w:sz="4" w:space="0" w:color="000000"/>
              <w:right w:val="single" w:sz="4" w:space="0" w:color="000000"/>
            </w:tcBorders>
            <w:noWrap/>
            <w:hideMark/>
          </w:tcPr>
          <w:p w:rsidR="00715CE4" w:rsidRPr="00715CE4" w:rsidRDefault="00715CE4" w:rsidP="00715CE4">
            <w:pPr>
              <w:spacing w:after="0" w:line="240" w:lineRule="auto"/>
              <w:rPr>
                <w:rFonts w:eastAsia="Times New Roman" w:cs="Calibri"/>
                <w:color w:val="000000"/>
                <w:sz w:val="20"/>
                <w:szCs w:val="20"/>
                <w:lang w:eastAsia="es-MX"/>
              </w:rPr>
            </w:pPr>
            <w:r w:rsidRPr="00715CE4">
              <w:rPr>
                <w:rFonts w:eastAsia="Times New Roman" w:cs="Calibri"/>
                <w:color w:val="000000"/>
                <w:sz w:val="20"/>
                <w:szCs w:val="20"/>
                <w:lang w:eastAsia="es-MX"/>
              </w:rPr>
              <w:t>Fortalecimiento de la Calidad Educativa</w:t>
            </w:r>
          </w:p>
        </w:tc>
      </w:tr>
      <w:tr w:rsidR="00715CE4" w:rsidRPr="00715CE4" w:rsidTr="00535CFD">
        <w:trPr>
          <w:trHeight w:val="300"/>
          <w:jc w:val="center"/>
        </w:trPr>
        <w:tc>
          <w:tcPr>
            <w:tcW w:w="1680" w:type="dxa"/>
            <w:tcBorders>
              <w:top w:val="single" w:sz="4" w:space="0" w:color="000000"/>
              <w:left w:val="single" w:sz="4" w:space="0" w:color="000000"/>
              <w:bottom w:val="single" w:sz="4" w:space="0" w:color="000000"/>
              <w:right w:val="single" w:sz="4" w:space="0" w:color="000000"/>
            </w:tcBorders>
            <w:noWrap/>
            <w:hideMark/>
          </w:tcPr>
          <w:p w:rsidR="00715CE4" w:rsidRPr="00715CE4" w:rsidRDefault="00715CE4" w:rsidP="00715CE4">
            <w:pPr>
              <w:spacing w:after="0" w:line="240" w:lineRule="auto"/>
              <w:rPr>
                <w:rFonts w:eastAsia="Times New Roman" w:cs="Calibri"/>
                <w:color w:val="000000"/>
                <w:sz w:val="20"/>
                <w:szCs w:val="20"/>
                <w:lang w:eastAsia="es-MX"/>
              </w:rPr>
            </w:pPr>
            <w:r w:rsidRPr="00715CE4">
              <w:rPr>
                <w:rFonts w:eastAsia="Times New Roman" w:cs="Calibri"/>
                <w:color w:val="000000"/>
                <w:sz w:val="20"/>
                <w:szCs w:val="20"/>
                <w:lang w:eastAsia="es-MX"/>
              </w:rPr>
              <w:t>U040</w:t>
            </w:r>
          </w:p>
        </w:tc>
        <w:tc>
          <w:tcPr>
            <w:tcW w:w="5140" w:type="dxa"/>
            <w:tcBorders>
              <w:top w:val="single" w:sz="4" w:space="0" w:color="000000"/>
              <w:left w:val="single" w:sz="4" w:space="0" w:color="000000"/>
              <w:bottom w:val="single" w:sz="4" w:space="0" w:color="000000"/>
              <w:right w:val="single" w:sz="4" w:space="0" w:color="000000"/>
            </w:tcBorders>
            <w:noWrap/>
            <w:hideMark/>
          </w:tcPr>
          <w:p w:rsidR="00715CE4" w:rsidRPr="00715CE4" w:rsidRDefault="00715CE4" w:rsidP="00715CE4">
            <w:pPr>
              <w:spacing w:after="0" w:line="240" w:lineRule="auto"/>
              <w:rPr>
                <w:rFonts w:eastAsia="Times New Roman" w:cs="Calibri"/>
                <w:color w:val="000000"/>
                <w:sz w:val="20"/>
                <w:szCs w:val="20"/>
                <w:lang w:eastAsia="es-MX"/>
              </w:rPr>
            </w:pPr>
            <w:r w:rsidRPr="00715CE4">
              <w:rPr>
                <w:rFonts w:eastAsia="Times New Roman" w:cs="Calibri"/>
                <w:color w:val="000000"/>
                <w:sz w:val="20"/>
                <w:szCs w:val="20"/>
                <w:lang w:eastAsia="es-MX"/>
              </w:rPr>
              <w:t>Carrera Docente en UPES</w:t>
            </w:r>
          </w:p>
        </w:tc>
      </w:tr>
    </w:tbl>
    <w:p w:rsidR="00FE41AB" w:rsidRDefault="00FE41AB" w:rsidP="00F412A7">
      <w:pPr>
        <w:spacing w:after="0"/>
        <w:jc w:val="both"/>
        <w:rPr>
          <w:rFonts w:ascii="Arial" w:hAnsi="Arial" w:cs="Arial"/>
          <w:color w:val="333333"/>
          <w:sz w:val="20"/>
          <w:szCs w:val="21"/>
          <w:shd w:val="clear" w:color="auto" w:fill="FFFFFF"/>
        </w:rPr>
      </w:pPr>
    </w:p>
    <w:p w:rsidR="00BF33FA" w:rsidRDefault="0081405B" w:rsidP="002D4387">
      <w:pPr>
        <w:jc w:val="both"/>
        <w:rPr>
          <w:rFonts w:ascii="Arial" w:hAnsi="Arial" w:cs="Arial"/>
          <w:color w:val="333333"/>
          <w:sz w:val="20"/>
          <w:szCs w:val="21"/>
          <w:shd w:val="clear" w:color="auto" w:fill="FFFFFF"/>
        </w:rPr>
      </w:pPr>
      <w:r>
        <w:rPr>
          <w:rFonts w:ascii="Arial" w:hAnsi="Arial" w:cs="Arial"/>
          <w:color w:val="333333"/>
          <w:sz w:val="20"/>
          <w:szCs w:val="21"/>
          <w:shd w:val="clear" w:color="auto" w:fill="FFFFFF"/>
        </w:rPr>
        <w:t>En este sentido, l</w:t>
      </w:r>
      <w:r w:rsidR="001E6A8B">
        <w:rPr>
          <w:rFonts w:ascii="Arial" w:hAnsi="Arial" w:cs="Arial"/>
          <w:color w:val="333333"/>
          <w:sz w:val="20"/>
          <w:szCs w:val="21"/>
          <w:shd w:val="clear" w:color="auto" w:fill="FFFFFF"/>
        </w:rPr>
        <w:t>a C</w:t>
      </w:r>
      <w:r w:rsidR="002D4387" w:rsidRPr="004E7638">
        <w:rPr>
          <w:rFonts w:ascii="Arial" w:hAnsi="Arial" w:cs="Arial"/>
          <w:color w:val="333333"/>
          <w:sz w:val="20"/>
          <w:szCs w:val="21"/>
          <w:shd w:val="clear" w:color="auto" w:fill="FFFFFF"/>
        </w:rPr>
        <w:t xml:space="preserve">ontraloría Social </w:t>
      </w:r>
      <w:r w:rsidR="004E7638" w:rsidRPr="004E7638">
        <w:rPr>
          <w:rFonts w:ascii="Arial" w:hAnsi="Arial" w:cs="Arial"/>
          <w:color w:val="333333"/>
          <w:sz w:val="20"/>
          <w:szCs w:val="21"/>
          <w:shd w:val="clear" w:color="auto" w:fill="FFFFFF"/>
        </w:rPr>
        <w:t xml:space="preserve">es un mecanismo de vigilancia establecido por la Secretaría de Educación Pública y la Secretaría de la Función Pública cuyo objetivo principal es </w:t>
      </w:r>
      <w:r w:rsidR="00073FBA" w:rsidRPr="004E7638">
        <w:rPr>
          <w:rFonts w:ascii="Arial" w:hAnsi="Arial" w:cs="Arial"/>
          <w:color w:val="333333"/>
          <w:sz w:val="20"/>
          <w:szCs w:val="21"/>
          <w:shd w:val="clear" w:color="auto" w:fill="FFFFFF"/>
        </w:rPr>
        <w:t>vigilar la transparencia, eficacia, legalidad y correcta aplicación de los recursos públicos asignados</w:t>
      </w:r>
      <w:r w:rsidR="00FF5CD3">
        <w:rPr>
          <w:rFonts w:ascii="Arial" w:hAnsi="Arial" w:cs="Arial"/>
          <w:color w:val="333333"/>
          <w:sz w:val="20"/>
          <w:szCs w:val="21"/>
          <w:shd w:val="clear" w:color="auto" w:fill="FFFFFF"/>
        </w:rPr>
        <w:t xml:space="preserve"> a las Instituciones de Educación Superior</w:t>
      </w:r>
      <w:r w:rsidR="002D4387" w:rsidRPr="004E7638">
        <w:rPr>
          <w:rFonts w:ascii="Arial" w:hAnsi="Arial" w:cs="Arial"/>
          <w:color w:val="333333"/>
          <w:sz w:val="20"/>
          <w:szCs w:val="21"/>
          <w:shd w:val="clear" w:color="auto" w:fill="FFFFFF"/>
        </w:rPr>
        <w:t xml:space="preserve">. </w:t>
      </w:r>
      <w:r w:rsidR="00704C35">
        <w:rPr>
          <w:rFonts w:ascii="Arial" w:hAnsi="Arial" w:cs="Arial"/>
          <w:color w:val="333333"/>
          <w:sz w:val="20"/>
          <w:szCs w:val="21"/>
          <w:shd w:val="clear" w:color="auto" w:fill="FFFFFF"/>
        </w:rPr>
        <w:t xml:space="preserve">Asimismo, </w:t>
      </w:r>
      <w:proofErr w:type="gramStart"/>
      <w:r w:rsidR="00876C09">
        <w:rPr>
          <w:rFonts w:ascii="Arial" w:hAnsi="Arial" w:cs="Arial"/>
          <w:color w:val="333333"/>
          <w:sz w:val="20"/>
          <w:szCs w:val="21"/>
          <w:shd w:val="clear" w:color="auto" w:fill="FFFFFF"/>
        </w:rPr>
        <w:t>de acuerdo al</w:t>
      </w:r>
      <w:proofErr w:type="gramEnd"/>
      <w:r w:rsidR="00876C09">
        <w:rPr>
          <w:rFonts w:ascii="Arial" w:hAnsi="Arial" w:cs="Arial"/>
          <w:color w:val="333333"/>
          <w:sz w:val="20"/>
          <w:szCs w:val="21"/>
          <w:shd w:val="clear" w:color="auto" w:fill="FFFFFF"/>
        </w:rPr>
        <w:t xml:space="preserve"> Art. </w:t>
      </w:r>
      <w:r w:rsidR="00FA7CB5">
        <w:rPr>
          <w:rFonts w:ascii="Arial" w:hAnsi="Arial" w:cs="Arial"/>
          <w:color w:val="333333"/>
          <w:sz w:val="20"/>
          <w:szCs w:val="21"/>
          <w:shd w:val="clear" w:color="auto" w:fill="FFFFFF"/>
        </w:rPr>
        <w:t>De la Ley de Transparencia</w:t>
      </w:r>
    </w:p>
    <w:p w:rsidR="002D4387" w:rsidRDefault="006F5D8C" w:rsidP="002D4387">
      <w:pPr>
        <w:jc w:val="both"/>
        <w:rPr>
          <w:rFonts w:ascii="Arial" w:hAnsi="Arial" w:cs="Arial"/>
          <w:color w:val="333333"/>
          <w:sz w:val="20"/>
          <w:szCs w:val="21"/>
          <w:shd w:val="clear" w:color="auto" w:fill="FFFFFF"/>
        </w:rPr>
      </w:pPr>
      <w:r w:rsidRPr="004E7638">
        <w:rPr>
          <w:rFonts w:ascii="Arial" w:hAnsi="Arial" w:cs="Arial"/>
          <w:color w:val="333333"/>
          <w:sz w:val="20"/>
          <w:szCs w:val="21"/>
          <w:shd w:val="clear" w:color="auto" w:fill="FFFFFF"/>
        </w:rPr>
        <w:t>En la Universidad de Guanajuato la Contraloría Social</w:t>
      </w:r>
      <w:r w:rsidR="00365B2A">
        <w:rPr>
          <w:rFonts w:ascii="Arial" w:hAnsi="Arial" w:cs="Arial"/>
          <w:color w:val="333333"/>
          <w:sz w:val="20"/>
          <w:szCs w:val="21"/>
          <w:shd w:val="clear" w:color="auto" w:fill="FFFFFF"/>
        </w:rPr>
        <w:t xml:space="preserve"> </w:t>
      </w:r>
      <w:r w:rsidRPr="004E7638">
        <w:rPr>
          <w:rFonts w:ascii="Arial" w:hAnsi="Arial" w:cs="Arial"/>
          <w:color w:val="333333"/>
          <w:sz w:val="20"/>
          <w:szCs w:val="21"/>
          <w:shd w:val="clear" w:color="auto" w:fill="FFFFFF"/>
        </w:rPr>
        <w:t>existe como mec</w:t>
      </w:r>
      <w:bookmarkStart w:id="0" w:name="_GoBack"/>
      <w:bookmarkEnd w:id="0"/>
      <w:r w:rsidRPr="004E7638">
        <w:rPr>
          <w:rFonts w:ascii="Arial" w:hAnsi="Arial" w:cs="Arial"/>
          <w:color w:val="333333"/>
          <w:sz w:val="20"/>
          <w:szCs w:val="21"/>
          <w:shd w:val="clear" w:color="auto" w:fill="FFFFFF"/>
        </w:rPr>
        <w:t>anismo de vigilancia</w:t>
      </w:r>
      <w:r w:rsidR="00073FBA" w:rsidRPr="004E7638">
        <w:rPr>
          <w:rFonts w:ascii="Arial" w:hAnsi="Arial" w:cs="Arial"/>
          <w:color w:val="333333"/>
          <w:sz w:val="20"/>
          <w:szCs w:val="21"/>
          <w:shd w:val="clear" w:color="auto" w:fill="FFFFFF"/>
        </w:rPr>
        <w:t>,</w:t>
      </w:r>
      <w:r w:rsidRPr="004E7638">
        <w:rPr>
          <w:rFonts w:ascii="Arial" w:hAnsi="Arial" w:cs="Arial"/>
          <w:color w:val="333333"/>
          <w:sz w:val="20"/>
          <w:szCs w:val="21"/>
          <w:shd w:val="clear" w:color="auto" w:fill="FFFFFF"/>
        </w:rPr>
        <w:t xml:space="preserve"> cuyo objetivo principal es la observancia del ejercicio de los recursos provenientes de los programas: PRODEP (Programa para el Desarrollo Profesional Docente para el Tipo Superior) y PFCE (Programa de Fortalecimiento de la Calidad Educativa)</w:t>
      </w:r>
      <w:r w:rsidR="002D4387" w:rsidRPr="004E7638">
        <w:rPr>
          <w:rFonts w:ascii="Arial" w:hAnsi="Arial" w:cs="Arial"/>
          <w:color w:val="333333"/>
          <w:sz w:val="20"/>
          <w:szCs w:val="21"/>
          <w:shd w:val="clear" w:color="auto" w:fill="FFFFFF"/>
        </w:rPr>
        <w:t>, programas que generan mejoras en el personal académico, las instalaciones y el equipo, con la finalidad de elevar la calidad de los programas educativos</w:t>
      </w:r>
      <w:r w:rsidR="00FF7ECB">
        <w:rPr>
          <w:rFonts w:ascii="Arial" w:hAnsi="Arial" w:cs="Arial"/>
          <w:color w:val="333333"/>
          <w:sz w:val="20"/>
          <w:szCs w:val="21"/>
          <w:shd w:val="clear" w:color="auto" w:fill="FFFFFF"/>
        </w:rPr>
        <w:t>.</w:t>
      </w:r>
    </w:p>
    <w:p w:rsidR="006059E1" w:rsidRDefault="00D61925" w:rsidP="00FF7ECB">
      <w:pPr>
        <w:jc w:val="both"/>
        <w:rPr>
          <w:rFonts w:ascii="Arial" w:hAnsi="Arial" w:cs="Arial"/>
          <w:color w:val="333333"/>
          <w:sz w:val="20"/>
          <w:szCs w:val="21"/>
          <w:shd w:val="clear" w:color="auto" w:fill="FFFFFF"/>
        </w:rPr>
      </w:pPr>
      <w:r>
        <w:rPr>
          <w:rFonts w:ascii="Arial" w:hAnsi="Arial" w:cs="Arial"/>
          <w:color w:val="333333"/>
          <w:sz w:val="20"/>
          <w:szCs w:val="21"/>
          <w:shd w:val="clear" w:color="auto" w:fill="FFFFFF"/>
        </w:rPr>
        <w:t>Así mismo, se prevé</w:t>
      </w:r>
      <w:r w:rsidR="002454D2">
        <w:rPr>
          <w:rFonts w:ascii="Arial" w:hAnsi="Arial" w:cs="Arial"/>
          <w:color w:val="333333"/>
          <w:sz w:val="20"/>
          <w:szCs w:val="21"/>
          <w:shd w:val="clear" w:color="auto" w:fill="FFFFFF"/>
        </w:rPr>
        <w:t>n</w:t>
      </w:r>
      <w:r>
        <w:rPr>
          <w:rFonts w:ascii="Arial" w:hAnsi="Arial" w:cs="Arial"/>
          <w:color w:val="333333"/>
          <w:sz w:val="20"/>
          <w:szCs w:val="21"/>
          <w:shd w:val="clear" w:color="auto" w:fill="FFFFFF"/>
        </w:rPr>
        <w:t xml:space="preserve"> recursos para el Programa de Carrera Docente en UPES, que tiene por objeto </w:t>
      </w:r>
      <w:r w:rsidR="00FF7ECB" w:rsidRPr="00FF7ECB">
        <w:rPr>
          <w:rFonts w:ascii="Arial" w:hAnsi="Arial" w:cs="Arial"/>
          <w:color w:val="333333"/>
          <w:sz w:val="20"/>
          <w:szCs w:val="21"/>
          <w:shd w:val="clear" w:color="auto" w:fill="FFFFFF"/>
        </w:rPr>
        <w:t>distinguir a los Profesores de Tiempo Completo que realicen aportes significativos en la mejora de los indicadores de resultados de la</w:t>
      </w:r>
      <w:r w:rsidR="00C43170">
        <w:rPr>
          <w:rFonts w:ascii="Arial" w:hAnsi="Arial" w:cs="Arial"/>
          <w:color w:val="333333"/>
          <w:sz w:val="20"/>
          <w:szCs w:val="21"/>
          <w:shd w:val="clear" w:color="auto" w:fill="FFFFFF"/>
        </w:rPr>
        <w:t xml:space="preserve"> Universidad como Universidad </w:t>
      </w:r>
      <w:r w:rsidR="00FF7ECB" w:rsidRPr="00FF7ECB">
        <w:rPr>
          <w:rFonts w:ascii="Arial" w:hAnsi="Arial" w:cs="Arial"/>
          <w:color w:val="333333"/>
          <w:sz w:val="20"/>
          <w:szCs w:val="21"/>
          <w:shd w:val="clear" w:color="auto" w:fill="FFFFFF"/>
        </w:rPr>
        <w:t>Públicas Estatal (UPE) y además que</w:t>
      </w:r>
      <w:r w:rsidR="00FF7ECB">
        <w:rPr>
          <w:rFonts w:ascii="Arial" w:hAnsi="Arial" w:cs="Arial"/>
          <w:color w:val="333333"/>
          <w:sz w:val="20"/>
          <w:szCs w:val="21"/>
          <w:shd w:val="clear" w:color="auto" w:fill="FFFFFF"/>
        </w:rPr>
        <w:t xml:space="preserve"> </w:t>
      </w:r>
      <w:r w:rsidR="00FF7ECB" w:rsidRPr="00FF7ECB">
        <w:rPr>
          <w:rFonts w:ascii="Arial" w:hAnsi="Arial" w:cs="Arial"/>
          <w:color w:val="333333"/>
          <w:sz w:val="20"/>
          <w:szCs w:val="21"/>
          <w:shd w:val="clear" w:color="auto" w:fill="FFFFFF"/>
        </w:rPr>
        <w:t>los Profesores de Tiempo Completo incidan en la formación de los egresados de nivel licenciatura formando alumnos con un perfil altamente competitivo a</w:t>
      </w:r>
      <w:r w:rsidR="00157193">
        <w:rPr>
          <w:rFonts w:ascii="Arial" w:hAnsi="Arial" w:cs="Arial"/>
          <w:color w:val="333333"/>
          <w:sz w:val="20"/>
          <w:szCs w:val="21"/>
          <w:shd w:val="clear" w:color="auto" w:fill="FFFFFF"/>
        </w:rPr>
        <w:t xml:space="preserve"> nivel nacional e internacional. </w:t>
      </w:r>
      <w:r w:rsidR="002454D2">
        <w:rPr>
          <w:rFonts w:ascii="Arial" w:hAnsi="Arial" w:cs="Arial"/>
          <w:color w:val="333333"/>
          <w:sz w:val="20"/>
          <w:szCs w:val="21"/>
          <w:shd w:val="clear" w:color="auto" w:fill="FFFFFF"/>
        </w:rPr>
        <w:t>Adicional</w:t>
      </w:r>
      <w:r w:rsidR="00157193">
        <w:rPr>
          <w:rFonts w:ascii="Arial" w:hAnsi="Arial" w:cs="Arial"/>
          <w:color w:val="333333"/>
          <w:sz w:val="20"/>
          <w:szCs w:val="21"/>
          <w:shd w:val="clear" w:color="auto" w:fill="FFFFFF"/>
        </w:rPr>
        <w:t>, se prevé el otorgamiento de un f</w:t>
      </w:r>
      <w:r w:rsidR="00157193" w:rsidRPr="00157193">
        <w:rPr>
          <w:rFonts w:ascii="Arial" w:hAnsi="Arial" w:cs="Arial"/>
          <w:color w:val="333333"/>
          <w:sz w:val="20"/>
          <w:szCs w:val="21"/>
          <w:shd w:val="clear" w:color="auto" w:fill="FFFFFF"/>
        </w:rPr>
        <w:t xml:space="preserve">ondo </w:t>
      </w:r>
      <w:r w:rsidR="00157193">
        <w:rPr>
          <w:rFonts w:ascii="Arial" w:hAnsi="Arial" w:cs="Arial"/>
          <w:color w:val="333333"/>
          <w:sz w:val="20"/>
          <w:szCs w:val="21"/>
          <w:shd w:val="clear" w:color="auto" w:fill="FFFFFF"/>
        </w:rPr>
        <w:t>de</w:t>
      </w:r>
      <w:r w:rsidR="00157193" w:rsidRPr="00157193">
        <w:rPr>
          <w:rFonts w:ascii="Arial" w:hAnsi="Arial" w:cs="Arial"/>
          <w:color w:val="333333"/>
          <w:sz w:val="20"/>
          <w:szCs w:val="21"/>
          <w:shd w:val="clear" w:color="auto" w:fill="FFFFFF"/>
        </w:rPr>
        <w:t xml:space="preserve"> recursos económicos concursables en la modalidad “A” Reformas Estructurales y la modalidad “B” Reconocimiento de Plantillas de Personal Administrativo.</w:t>
      </w:r>
    </w:p>
    <w:p w:rsidR="008844F9" w:rsidRPr="004E025F" w:rsidRDefault="008844F9" w:rsidP="002D4387">
      <w:pPr>
        <w:jc w:val="both"/>
        <w:rPr>
          <w:rFonts w:ascii="Arial" w:hAnsi="Arial" w:cs="Arial"/>
          <w:b/>
          <w:sz w:val="20"/>
          <w:szCs w:val="21"/>
          <w:shd w:val="clear" w:color="auto" w:fill="FFFFFF"/>
        </w:rPr>
      </w:pPr>
      <w:r w:rsidRPr="004E025F">
        <w:rPr>
          <w:rFonts w:ascii="Arial" w:hAnsi="Arial" w:cs="Arial"/>
          <w:b/>
          <w:sz w:val="20"/>
          <w:szCs w:val="21"/>
          <w:shd w:val="clear" w:color="auto" w:fill="FFFFFF"/>
        </w:rPr>
        <w:t>Programa de Fortalecimiento de la Calidad Educativa</w:t>
      </w:r>
    </w:p>
    <w:p w:rsidR="00BC2DC1" w:rsidRPr="00BC2DC1" w:rsidRDefault="00BC2DC1" w:rsidP="002D4387">
      <w:pPr>
        <w:jc w:val="both"/>
        <w:rPr>
          <w:rFonts w:ascii="Arial" w:hAnsi="Arial" w:cs="Arial"/>
          <w:color w:val="333333"/>
          <w:sz w:val="20"/>
          <w:szCs w:val="21"/>
          <w:shd w:val="clear" w:color="auto" w:fill="FFFFFF"/>
        </w:rPr>
      </w:pPr>
      <w:r w:rsidRPr="00BC2DC1">
        <w:rPr>
          <w:rFonts w:ascii="Arial" w:hAnsi="Arial" w:cs="Arial"/>
          <w:color w:val="333333"/>
          <w:sz w:val="20"/>
          <w:szCs w:val="21"/>
          <w:shd w:val="clear" w:color="auto" w:fill="FFFFFF"/>
        </w:rPr>
        <w:t>A partir del año 2016, la Secretaría de Educación Pública (SEP), a través del programa presupuestario S267 Fortalecimiento de la Calidad Educativa (PFCE) sujeto a Reglas de Operación (RO), se ha constituido como un medio estratégico para contribuir al logro de las metas establecidas en el Plan Nacional de Desarrollo (PND) 2013-2018</w:t>
      </w:r>
      <w:r>
        <w:rPr>
          <w:rFonts w:ascii="Arial" w:hAnsi="Arial" w:cs="Arial"/>
          <w:color w:val="333333"/>
          <w:sz w:val="20"/>
          <w:szCs w:val="21"/>
          <w:shd w:val="clear" w:color="auto" w:fill="FFFFFF"/>
        </w:rPr>
        <w:t>.</w:t>
      </w:r>
    </w:p>
    <w:p w:rsidR="000C18FC" w:rsidRDefault="003260EC" w:rsidP="00B67766">
      <w:pPr>
        <w:jc w:val="both"/>
        <w:rPr>
          <w:rFonts w:ascii="Arial" w:hAnsi="Arial" w:cs="Arial"/>
          <w:color w:val="333333"/>
          <w:sz w:val="20"/>
          <w:szCs w:val="21"/>
          <w:shd w:val="clear" w:color="auto" w:fill="FFFFFF"/>
        </w:rPr>
      </w:pPr>
      <w:r>
        <w:rPr>
          <w:rFonts w:ascii="Arial" w:hAnsi="Arial" w:cs="Arial"/>
          <w:color w:val="333333"/>
          <w:sz w:val="20"/>
          <w:szCs w:val="21"/>
          <w:shd w:val="clear" w:color="auto" w:fill="FFFFFF"/>
        </w:rPr>
        <w:t>En la Universidad de Guanajuato</w:t>
      </w:r>
      <w:r w:rsidR="00175DB1">
        <w:rPr>
          <w:rFonts w:ascii="Arial" w:hAnsi="Arial" w:cs="Arial"/>
          <w:color w:val="333333"/>
          <w:sz w:val="20"/>
          <w:szCs w:val="21"/>
          <w:shd w:val="clear" w:color="auto" w:fill="FFFFFF"/>
        </w:rPr>
        <w:t>,</w:t>
      </w:r>
      <w:r>
        <w:rPr>
          <w:rFonts w:ascii="Arial" w:hAnsi="Arial" w:cs="Arial"/>
          <w:color w:val="333333"/>
          <w:sz w:val="20"/>
          <w:szCs w:val="21"/>
          <w:shd w:val="clear" w:color="auto" w:fill="FFFFFF"/>
        </w:rPr>
        <w:t xml:space="preserve"> el programa apoya al cumplimiento de las siguientes </w:t>
      </w:r>
      <w:r w:rsidR="00F57DEE">
        <w:rPr>
          <w:rFonts w:ascii="Arial" w:hAnsi="Arial" w:cs="Arial"/>
          <w:color w:val="333333"/>
          <w:sz w:val="20"/>
          <w:szCs w:val="21"/>
          <w:shd w:val="clear" w:color="auto" w:fill="FFFFFF"/>
        </w:rPr>
        <w:t>metas académicas e indicadores de calidad</w:t>
      </w:r>
      <w:r w:rsidR="000C18FC">
        <w:rPr>
          <w:rFonts w:ascii="Arial" w:hAnsi="Arial" w:cs="Arial"/>
          <w:color w:val="333333"/>
          <w:sz w:val="20"/>
          <w:szCs w:val="21"/>
          <w:shd w:val="clear" w:color="auto" w:fill="FFFFFF"/>
        </w:rPr>
        <w:t>:</w:t>
      </w:r>
    </w:p>
    <w:p w:rsidR="000C18FC" w:rsidRPr="00C36532" w:rsidRDefault="000C18FC" w:rsidP="000C18FC">
      <w:pPr>
        <w:pStyle w:val="Prrafodelista"/>
        <w:numPr>
          <w:ilvl w:val="0"/>
          <w:numId w:val="1"/>
        </w:numPr>
        <w:jc w:val="both"/>
        <w:rPr>
          <w:rFonts w:ascii="Arial" w:hAnsi="Arial" w:cs="Arial"/>
          <w:color w:val="333333"/>
          <w:sz w:val="18"/>
          <w:szCs w:val="18"/>
          <w:shd w:val="clear" w:color="auto" w:fill="FFFFFF"/>
        </w:rPr>
      </w:pPr>
      <w:proofErr w:type="spellStart"/>
      <w:r w:rsidRPr="00C36532">
        <w:rPr>
          <w:rFonts w:ascii="Arial" w:hAnsi="Arial" w:cs="Arial"/>
          <w:color w:val="333333"/>
          <w:sz w:val="18"/>
          <w:szCs w:val="18"/>
          <w:shd w:val="clear" w:color="auto" w:fill="FFFFFF"/>
        </w:rPr>
        <w:t>ProGES</w:t>
      </w:r>
      <w:proofErr w:type="spellEnd"/>
      <w:r w:rsidRPr="00C36532">
        <w:rPr>
          <w:rFonts w:ascii="Arial" w:hAnsi="Arial" w:cs="Arial"/>
          <w:color w:val="333333"/>
          <w:sz w:val="18"/>
          <w:szCs w:val="18"/>
          <w:shd w:val="clear" w:color="auto" w:fill="FFFFFF"/>
        </w:rPr>
        <w:t xml:space="preserve"> 1 “Consolidación de la Competitividad Académica de la Universidad de Guanajuato”</w:t>
      </w:r>
    </w:p>
    <w:p w:rsidR="000C18FC" w:rsidRPr="00C36532" w:rsidRDefault="000C18FC" w:rsidP="000C18FC">
      <w:pPr>
        <w:pStyle w:val="Prrafodelista"/>
        <w:numPr>
          <w:ilvl w:val="0"/>
          <w:numId w:val="1"/>
        </w:numPr>
        <w:jc w:val="both"/>
        <w:rPr>
          <w:rFonts w:ascii="Arial" w:hAnsi="Arial" w:cs="Arial"/>
          <w:color w:val="333333"/>
          <w:sz w:val="18"/>
          <w:szCs w:val="18"/>
          <w:shd w:val="clear" w:color="auto" w:fill="FFFFFF"/>
        </w:rPr>
      </w:pPr>
      <w:proofErr w:type="spellStart"/>
      <w:r w:rsidRPr="00C36532">
        <w:rPr>
          <w:rFonts w:ascii="Arial" w:hAnsi="Arial" w:cs="Arial"/>
          <w:color w:val="333333"/>
          <w:sz w:val="18"/>
          <w:szCs w:val="18"/>
          <w:shd w:val="clear" w:color="auto" w:fill="FFFFFF"/>
        </w:rPr>
        <w:t>ProGES</w:t>
      </w:r>
      <w:proofErr w:type="spellEnd"/>
      <w:r w:rsidRPr="00C36532">
        <w:rPr>
          <w:rFonts w:ascii="Arial" w:hAnsi="Arial" w:cs="Arial"/>
          <w:color w:val="333333"/>
          <w:sz w:val="18"/>
          <w:szCs w:val="18"/>
          <w:shd w:val="clear" w:color="auto" w:fill="FFFFFF"/>
        </w:rPr>
        <w:t xml:space="preserve"> 2 “Gestión efectiva”</w:t>
      </w:r>
    </w:p>
    <w:p w:rsidR="000C18FC" w:rsidRPr="00C36532" w:rsidRDefault="000C18FC" w:rsidP="000C18FC">
      <w:pPr>
        <w:pStyle w:val="Prrafodelista"/>
        <w:numPr>
          <w:ilvl w:val="0"/>
          <w:numId w:val="1"/>
        </w:numPr>
        <w:jc w:val="both"/>
        <w:rPr>
          <w:rFonts w:ascii="Arial" w:hAnsi="Arial" w:cs="Arial"/>
          <w:color w:val="333333"/>
          <w:sz w:val="18"/>
          <w:szCs w:val="18"/>
          <w:shd w:val="clear" w:color="auto" w:fill="FFFFFF"/>
        </w:rPr>
      </w:pPr>
      <w:proofErr w:type="spellStart"/>
      <w:r w:rsidRPr="00C36532">
        <w:rPr>
          <w:rFonts w:ascii="Arial" w:hAnsi="Arial" w:cs="Arial"/>
          <w:color w:val="333333"/>
          <w:sz w:val="18"/>
          <w:szCs w:val="18"/>
          <w:shd w:val="clear" w:color="auto" w:fill="FFFFFF"/>
        </w:rPr>
        <w:t>ProGES</w:t>
      </w:r>
      <w:proofErr w:type="spellEnd"/>
      <w:r w:rsidRPr="00C36532">
        <w:rPr>
          <w:rFonts w:ascii="Arial" w:hAnsi="Arial" w:cs="Arial"/>
          <w:color w:val="333333"/>
          <w:sz w:val="18"/>
          <w:szCs w:val="18"/>
          <w:shd w:val="clear" w:color="auto" w:fill="FFFFFF"/>
        </w:rPr>
        <w:t xml:space="preserve"> 3 “Proyecto igualdad de género de la Universidad de Guanajuato”</w:t>
      </w:r>
    </w:p>
    <w:p w:rsidR="000C18FC" w:rsidRPr="00C36532" w:rsidRDefault="000C18FC" w:rsidP="000C18FC">
      <w:pPr>
        <w:pStyle w:val="Prrafodelista"/>
        <w:numPr>
          <w:ilvl w:val="0"/>
          <w:numId w:val="1"/>
        </w:numPr>
        <w:jc w:val="both"/>
        <w:rPr>
          <w:rFonts w:ascii="Arial" w:hAnsi="Arial" w:cs="Arial"/>
          <w:color w:val="333333"/>
          <w:sz w:val="18"/>
          <w:szCs w:val="18"/>
          <w:shd w:val="clear" w:color="auto" w:fill="FFFFFF"/>
        </w:rPr>
      </w:pPr>
      <w:proofErr w:type="spellStart"/>
      <w:r w:rsidRPr="00C36532">
        <w:rPr>
          <w:rFonts w:ascii="Arial" w:hAnsi="Arial" w:cs="Arial"/>
          <w:color w:val="333333"/>
          <w:sz w:val="18"/>
          <w:szCs w:val="18"/>
          <w:shd w:val="clear" w:color="auto" w:fill="FFFFFF"/>
        </w:rPr>
        <w:t>ProDES</w:t>
      </w:r>
      <w:proofErr w:type="spellEnd"/>
      <w:r w:rsidRPr="00C36532">
        <w:rPr>
          <w:rFonts w:ascii="Arial" w:hAnsi="Arial" w:cs="Arial"/>
          <w:color w:val="333333"/>
          <w:sz w:val="18"/>
          <w:szCs w:val="18"/>
          <w:shd w:val="clear" w:color="auto" w:fill="FFFFFF"/>
        </w:rPr>
        <w:t xml:space="preserve"> 1396 “Fortalecer la competitividad académica de la DES a través de la atención a las recomendaciones de los organismos evaluadores y acreditadores para mejorar el desempeño de los estudiantes.</w:t>
      </w:r>
    </w:p>
    <w:p w:rsidR="000C18FC" w:rsidRPr="00C36532" w:rsidRDefault="000C18FC" w:rsidP="000C18FC">
      <w:pPr>
        <w:pStyle w:val="Prrafodelista"/>
        <w:numPr>
          <w:ilvl w:val="0"/>
          <w:numId w:val="1"/>
        </w:numPr>
        <w:jc w:val="both"/>
        <w:rPr>
          <w:rFonts w:ascii="Arial" w:hAnsi="Arial" w:cs="Arial"/>
          <w:color w:val="333333"/>
          <w:sz w:val="18"/>
          <w:szCs w:val="18"/>
          <w:shd w:val="clear" w:color="auto" w:fill="FFFFFF"/>
        </w:rPr>
      </w:pPr>
      <w:proofErr w:type="spellStart"/>
      <w:r w:rsidRPr="00C36532">
        <w:rPr>
          <w:rFonts w:ascii="Arial" w:hAnsi="Arial" w:cs="Arial"/>
          <w:color w:val="333333"/>
          <w:sz w:val="18"/>
          <w:szCs w:val="18"/>
          <w:shd w:val="clear" w:color="auto" w:fill="FFFFFF"/>
        </w:rPr>
        <w:lastRenderedPageBreak/>
        <w:t>ProDES</w:t>
      </w:r>
      <w:proofErr w:type="spellEnd"/>
      <w:r w:rsidRPr="00C36532">
        <w:rPr>
          <w:rFonts w:ascii="Arial" w:hAnsi="Arial" w:cs="Arial"/>
          <w:color w:val="333333"/>
          <w:sz w:val="18"/>
          <w:szCs w:val="18"/>
          <w:shd w:val="clear" w:color="auto" w:fill="FFFFFF"/>
        </w:rPr>
        <w:t xml:space="preserve"> 1397 “Impulsar la competitividad académica de la DES campus Guanajuato atendiendo la pertinencia y calidad oferta educativa”</w:t>
      </w:r>
    </w:p>
    <w:p w:rsidR="000C18FC" w:rsidRPr="00C36532" w:rsidRDefault="000C18FC" w:rsidP="000C18FC">
      <w:pPr>
        <w:pStyle w:val="Prrafodelista"/>
        <w:numPr>
          <w:ilvl w:val="0"/>
          <w:numId w:val="1"/>
        </w:numPr>
        <w:jc w:val="both"/>
        <w:rPr>
          <w:rFonts w:ascii="Arial" w:hAnsi="Arial" w:cs="Arial"/>
          <w:color w:val="333333"/>
          <w:sz w:val="18"/>
          <w:szCs w:val="18"/>
          <w:shd w:val="clear" w:color="auto" w:fill="FFFFFF"/>
        </w:rPr>
      </w:pPr>
      <w:proofErr w:type="spellStart"/>
      <w:r w:rsidRPr="00C36532">
        <w:rPr>
          <w:rFonts w:ascii="Arial" w:hAnsi="Arial" w:cs="Arial"/>
          <w:color w:val="333333"/>
          <w:sz w:val="18"/>
          <w:szCs w:val="18"/>
          <w:shd w:val="clear" w:color="auto" w:fill="FFFFFF"/>
        </w:rPr>
        <w:t>ProDES</w:t>
      </w:r>
      <w:proofErr w:type="spellEnd"/>
      <w:r w:rsidRPr="00C36532">
        <w:rPr>
          <w:rFonts w:ascii="Arial" w:hAnsi="Arial" w:cs="Arial"/>
          <w:color w:val="333333"/>
          <w:sz w:val="18"/>
          <w:szCs w:val="18"/>
          <w:shd w:val="clear" w:color="auto" w:fill="FFFFFF"/>
        </w:rPr>
        <w:t xml:space="preserve"> 1399 “Proyecto de Fortalecimiento a la calidad educativa y competitividad académica de campus Irapuato-Salamanca de la Universidad de Guanajuato 2018-2019.</w:t>
      </w:r>
    </w:p>
    <w:p w:rsidR="000C18FC" w:rsidRPr="00C36532" w:rsidRDefault="000C18FC" w:rsidP="000C18FC">
      <w:pPr>
        <w:pStyle w:val="Prrafodelista"/>
        <w:numPr>
          <w:ilvl w:val="0"/>
          <w:numId w:val="1"/>
        </w:numPr>
        <w:jc w:val="both"/>
        <w:rPr>
          <w:rFonts w:ascii="Arial" w:hAnsi="Arial" w:cs="Arial"/>
          <w:color w:val="333333"/>
          <w:sz w:val="18"/>
          <w:szCs w:val="18"/>
          <w:shd w:val="clear" w:color="auto" w:fill="FFFFFF"/>
        </w:rPr>
      </w:pPr>
      <w:proofErr w:type="spellStart"/>
      <w:r w:rsidRPr="00C36532">
        <w:rPr>
          <w:rFonts w:ascii="Arial" w:hAnsi="Arial" w:cs="Arial"/>
          <w:color w:val="333333"/>
          <w:sz w:val="18"/>
          <w:szCs w:val="18"/>
          <w:shd w:val="clear" w:color="auto" w:fill="FFFFFF"/>
        </w:rPr>
        <w:t>ProDES</w:t>
      </w:r>
      <w:proofErr w:type="spellEnd"/>
      <w:r w:rsidRPr="00C36532">
        <w:rPr>
          <w:rFonts w:ascii="Arial" w:hAnsi="Arial" w:cs="Arial"/>
          <w:color w:val="333333"/>
          <w:sz w:val="18"/>
          <w:szCs w:val="18"/>
          <w:shd w:val="clear" w:color="auto" w:fill="FFFFFF"/>
        </w:rPr>
        <w:t xml:space="preserve"> 1400 “Incrementar la competitividad académica de los Programas Educativos del Campus León de la Universidad de Guanajuato”</w:t>
      </w:r>
    </w:p>
    <w:p w:rsidR="000C18FC" w:rsidRDefault="003B49AC" w:rsidP="000C18FC">
      <w:pPr>
        <w:jc w:val="both"/>
        <w:rPr>
          <w:rFonts w:ascii="Arial" w:hAnsi="Arial" w:cs="Arial"/>
          <w:color w:val="333333"/>
          <w:sz w:val="20"/>
          <w:szCs w:val="21"/>
          <w:shd w:val="clear" w:color="auto" w:fill="FFFFFF"/>
        </w:rPr>
      </w:pPr>
      <w:r>
        <w:rPr>
          <w:rFonts w:ascii="Arial" w:hAnsi="Arial" w:cs="Arial"/>
          <w:color w:val="333333"/>
          <w:sz w:val="20"/>
          <w:szCs w:val="21"/>
          <w:shd w:val="clear" w:color="auto" w:fill="FFFFFF"/>
        </w:rPr>
        <w:t xml:space="preserve">La información </w:t>
      </w:r>
      <w:r w:rsidR="00586C0C">
        <w:rPr>
          <w:rFonts w:ascii="Arial" w:hAnsi="Arial" w:cs="Arial"/>
          <w:color w:val="333333"/>
          <w:sz w:val="20"/>
          <w:szCs w:val="21"/>
          <w:shd w:val="clear" w:color="auto" w:fill="FFFFFF"/>
        </w:rPr>
        <w:t xml:space="preserve">y </w:t>
      </w:r>
      <w:r w:rsidR="00FF5CD3">
        <w:rPr>
          <w:rFonts w:ascii="Arial" w:hAnsi="Arial" w:cs="Arial"/>
          <w:color w:val="333333"/>
          <w:sz w:val="20"/>
          <w:szCs w:val="21"/>
          <w:shd w:val="clear" w:color="auto" w:fill="FFFFFF"/>
        </w:rPr>
        <w:t xml:space="preserve">documentos </w:t>
      </w:r>
      <w:r w:rsidR="00EE08E4">
        <w:rPr>
          <w:rFonts w:ascii="Arial" w:hAnsi="Arial" w:cs="Arial"/>
          <w:color w:val="333333"/>
          <w:sz w:val="20"/>
          <w:szCs w:val="21"/>
          <w:shd w:val="clear" w:color="auto" w:fill="FFFFFF"/>
        </w:rPr>
        <w:t>correspondientes</w:t>
      </w:r>
      <w:r w:rsidR="00175DB1">
        <w:rPr>
          <w:rFonts w:ascii="Arial" w:hAnsi="Arial" w:cs="Arial"/>
          <w:color w:val="333333"/>
          <w:sz w:val="20"/>
          <w:szCs w:val="21"/>
          <w:shd w:val="clear" w:color="auto" w:fill="FFFFFF"/>
        </w:rPr>
        <w:t xml:space="preserve"> al </w:t>
      </w:r>
      <w:r w:rsidR="002627AE">
        <w:rPr>
          <w:rFonts w:ascii="Arial" w:hAnsi="Arial" w:cs="Arial"/>
          <w:color w:val="333333"/>
          <w:sz w:val="20"/>
          <w:szCs w:val="21"/>
          <w:shd w:val="clear" w:color="auto" w:fill="FFFFFF"/>
        </w:rPr>
        <w:t xml:space="preserve">avance </w:t>
      </w:r>
      <w:r w:rsidR="005971C9">
        <w:rPr>
          <w:rFonts w:ascii="Arial" w:hAnsi="Arial" w:cs="Arial"/>
          <w:color w:val="333333"/>
          <w:sz w:val="20"/>
          <w:szCs w:val="21"/>
          <w:shd w:val="clear" w:color="auto" w:fill="FFFFFF"/>
        </w:rPr>
        <w:t>de</w:t>
      </w:r>
      <w:r w:rsidR="00586C0C">
        <w:rPr>
          <w:rFonts w:ascii="Arial" w:hAnsi="Arial" w:cs="Arial"/>
          <w:color w:val="333333"/>
          <w:sz w:val="20"/>
          <w:szCs w:val="21"/>
          <w:shd w:val="clear" w:color="auto" w:fill="FFFFFF"/>
        </w:rPr>
        <w:t xml:space="preserve"> este</w:t>
      </w:r>
      <w:r w:rsidR="005971C9">
        <w:rPr>
          <w:rFonts w:ascii="Arial" w:hAnsi="Arial" w:cs="Arial"/>
          <w:color w:val="333333"/>
          <w:sz w:val="20"/>
          <w:szCs w:val="21"/>
          <w:shd w:val="clear" w:color="auto" w:fill="FFFFFF"/>
        </w:rPr>
        <w:t xml:space="preserve"> programa al </w:t>
      </w:r>
      <w:r w:rsidR="00175DB1">
        <w:rPr>
          <w:rFonts w:ascii="Arial" w:hAnsi="Arial" w:cs="Arial"/>
          <w:color w:val="333333"/>
          <w:sz w:val="20"/>
          <w:szCs w:val="21"/>
          <w:shd w:val="clear" w:color="auto" w:fill="FFFFFF"/>
        </w:rPr>
        <w:t>tercer trimestre del 2018</w:t>
      </w:r>
      <w:r w:rsidR="00513D50">
        <w:rPr>
          <w:rFonts w:ascii="Arial" w:hAnsi="Arial" w:cs="Arial"/>
          <w:color w:val="333333"/>
          <w:sz w:val="20"/>
          <w:szCs w:val="21"/>
          <w:shd w:val="clear" w:color="auto" w:fill="FFFFFF"/>
        </w:rPr>
        <w:t xml:space="preserve"> se encuentran disponibles en la siguiente liga:</w:t>
      </w:r>
    </w:p>
    <w:p w:rsidR="002F622E" w:rsidRDefault="003C1BCC" w:rsidP="000C18FC">
      <w:pPr>
        <w:jc w:val="both"/>
        <w:rPr>
          <w:rFonts w:ascii="Arial" w:hAnsi="Arial" w:cs="Arial"/>
          <w:color w:val="333333"/>
          <w:sz w:val="20"/>
          <w:szCs w:val="21"/>
          <w:shd w:val="clear" w:color="auto" w:fill="FFFFFF"/>
        </w:rPr>
      </w:pPr>
      <w:hyperlink r:id="rId7" w:history="1">
        <w:r w:rsidR="009C2927" w:rsidRPr="00C129FB">
          <w:rPr>
            <w:rStyle w:val="Hipervnculo"/>
            <w:rFonts w:ascii="Arial" w:hAnsi="Arial" w:cs="Arial"/>
            <w:sz w:val="20"/>
            <w:szCs w:val="21"/>
            <w:shd w:val="clear" w:color="auto" w:fill="FFFFFF"/>
          </w:rPr>
          <w:t>http://148.214.155.19/index.php/2018/pfce</w:t>
        </w:r>
      </w:hyperlink>
    </w:p>
    <w:p w:rsidR="008A4784" w:rsidRPr="000822B8" w:rsidRDefault="0009385E" w:rsidP="00F412A7">
      <w:pPr>
        <w:spacing w:line="240" w:lineRule="auto"/>
        <w:jc w:val="both"/>
        <w:rPr>
          <w:rFonts w:ascii="Arial" w:hAnsi="Arial" w:cs="Arial"/>
          <w:b/>
          <w:sz w:val="20"/>
          <w:szCs w:val="21"/>
          <w:shd w:val="clear" w:color="auto" w:fill="FFFFFF"/>
        </w:rPr>
      </w:pPr>
      <w:r w:rsidRPr="000822B8">
        <w:rPr>
          <w:rFonts w:ascii="Arial" w:hAnsi="Arial" w:cs="Arial"/>
          <w:b/>
          <w:sz w:val="20"/>
          <w:szCs w:val="21"/>
          <w:shd w:val="clear" w:color="auto" w:fill="FFFFFF"/>
        </w:rPr>
        <w:t>Programa para el Desarrollo Profesional Docente</w:t>
      </w:r>
    </w:p>
    <w:p w:rsidR="00533E94" w:rsidRDefault="00763978" w:rsidP="008A4784">
      <w:pPr>
        <w:jc w:val="both"/>
      </w:pPr>
      <w:r>
        <w:t>L</w:t>
      </w:r>
      <w:r w:rsidR="00B8018A">
        <w:t>a</w:t>
      </w:r>
      <w:r w:rsidR="005971C9" w:rsidRPr="00934417">
        <w:t xml:space="preserve"> Secretaría de Educación Pública (SEP)</w:t>
      </w:r>
      <w:r>
        <w:t xml:space="preserve"> a través de</w:t>
      </w:r>
      <w:r w:rsidR="00715289">
        <w:t xml:space="preserve"> este</w:t>
      </w:r>
      <w:r>
        <w:t xml:space="preserve"> programa</w:t>
      </w:r>
      <w:r w:rsidR="005971C9" w:rsidRPr="00934417">
        <w:t xml:space="preserve">, </w:t>
      </w:r>
      <w:r w:rsidR="00533E94">
        <w:t>busca profesionalizar a los profesores de tiempo completo de las instituciones públicas de educación superior para que alcancen las capacidades de investigación-docencia, desarrollo tecnológico e innovación y, con responsabilidad social, se articulen y consoliden en cuerpos académicos y con ello generen una nueva comunidad académica capaz de transformar su entorno.</w:t>
      </w:r>
    </w:p>
    <w:p w:rsidR="007D135E" w:rsidRDefault="005971C9" w:rsidP="008A4784">
      <w:pPr>
        <w:jc w:val="both"/>
      </w:pPr>
      <w:r>
        <w:t>El</w:t>
      </w:r>
      <w:r w:rsidR="002E4FA1">
        <w:t xml:space="preserve"> programa</w:t>
      </w:r>
      <w:r w:rsidR="007D135E">
        <w:t xml:space="preserve"> busca coadyuvar </w:t>
      </w:r>
      <w:r w:rsidR="002E4FA1">
        <w:t>en</w:t>
      </w:r>
      <w:r w:rsidR="007D135E">
        <w:t xml:space="preserve"> </w:t>
      </w:r>
      <w:r w:rsidR="002E4FA1">
        <w:t xml:space="preserve">las </w:t>
      </w:r>
      <w:r w:rsidR="007D135E">
        <w:t>propuestas y líneas de acción que convergen en el Plan Nacional de Desarrollo 2013-2018 para llevar a México a su máximo potencial, a través de la Meta Nacional 3. "Un México con Educación de Calidad", Objetivo 3.1., que dispone en su Estrategia 3.1.1. "Establecer un sistema de profesionalización docente que promueva la formación, selección, actualización y evaluación del personal docente y apoyo técnico-pedagógico." Asimismo, el Programa coadyuva al cumplimiento de lo establecido en el Programa Sectorial de Educación 2013-2018,</w:t>
      </w:r>
      <w:r w:rsidR="006A5E6E">
        <w:t xml:space="preserve"> </w:t>
      </w:r>
      <w:r w:rsidR="007D135E">
        <w:t xml:space="preserve">Objetivo 2 "Fortalecer la calidad y pertinencia de la educación media superior, superior y formación para el trabajo, a fin de que contribuya al desarrollo de México", Estrategia 2.3. "Continuar el desarrollo de los mecanismos para el aseguramiento de la calidad de los programas e instituciones de educación superior", que establece en sus líneas de acción 2.3.1. "Revisar la estructura de los fondos extraordinarios para asegurar que sean instrumentos para el fortalecimiento de la educación superior", y 2.3.5. "Impulsar la formación del personal académico mediante modelos pertinentes, así como esquemas para facilitar el cambio generacional de la planta docente". </w:t>
      </w:r>
    </w:p>
    <w:tbl>
      <w:tblPr>
        <w:tblpPr w:leftFromText="141" w:rightFromText="141" w:vertAnchor="text" w:horzAnchor="margin" w:tblpY="2376"/>
        <w:tblW w:w="9459" w:type="dxa"/>
        <w:tblCellMar>
          <w:left w:w="70" w:type="dxa"/>
          <w:right w:w="70" w:type="dxa"/>
        </w:tblCellMar>
        <w:tblLook w:val="04A0" w:firstRow="1" w:lastRow="0" w:firstColumn="1" w:lastColumn="0" w:noHBand="0" w:noVBand="1"/>
      </w:tblPr>
      <w:tblGrid>
        <w:gridCol w:w="1805"/>
        <w:gridCol w:w="1495"/>
        <w:gridCol w:w="1512"/>
        <w:gridCol w:w="1145"/>
        <w:gridCol w:w="3502"/>
      </w:tblGrid>
      <w:tr w:rsidR="0078238A" w:rsidRPr="0078238A" w:rsidTr="0078238A">
        <w:trPr>
          <w:trHeight w:val="530"/>
        </w:trPr>
        <w:tc>
          <w:tcPr>
            <w:tcW w:w="1805" w:type="dxa"/>
            <w:tcBorders>
              <w:top w:val="single" w:sz="4" w:space="0" w:color="FFFFFF"/>
              <w:left w:val="single" w:sz="4" w:space="0" w:color="FFFFFF"/>
              <w:bottom w:val="single" w:sz="4" w:space="0" w:color="FFFFFF"/>
              <w:right w:val="single" w:sz="4" w:space="0" w:color="FFFFFF"/>
            </w:tcBorders>
            <w:shd w:val="clear" w:color="000000" w:fill="002060"/>
            <w:noWrap/>
            <w:vAlign w:val="center"/>
            <w:hideMark/>
          </w:tcPr>
          <w:p w:rsidR="0078238A" w:rsidRPr="0078238A" w:rsidRDefault="0078238A" w:rsidP="0078238A">
            <w:pPr>
              <w:spacing w:after="0" w:line="240" w:lineRule="auto"/>
              <w:jc w:val="center"/>
              <w:rPr>
                <w:rFonts w:eastAsia="Times New Roman" w:cs="Calibri"/>
                <w:b/>
                <w:bCs/>
                <w:color w:val="FFFFFF"/>
                <w:sz w:val="18"/>
                <w:szCs w:val="18"/>
                <w:lang w:eastAsia="es-MX"/>
              </w:rPr>
            </w:pPr>
            <w:r w:rsidRPr="0078238A">
              <w:rPr>
                <w:rFonts w:eastAsia="Times New Roman" w:cs="Calibri"/>
                <w:b/>
                <w:bCs/>
                <w:color w:val="FFFFFF"/>
                <w:sz w:val="18"/>
                <w:szCs w:val="18"/>
                <w:lang w:eastAsia="es-MX"/>
              </w:rPr>
              <w:t>Nombre</w:t>
            </w:r>
          </w:p>
        </w:tc>
        <w:tc>
          <w:tcPr>
            <w:tcW w:w="1495" w:type="dxa"/>
            <w:tcBorders>
              <w:top w:val="single" w:sz="4" w:space="0" w:color="FFFFFF"/>
              <w:left w:val="nil"/>
              <w:bottom w:val="single" w:sz="4" w:space="0" w:color="FFFFFF"/>
              <w:right w:val="single" w:sz="4" w:space="0" w:color="FFFFFF"/>
            </w:tcBorders>
            <w:shd w:val="clear" w:color="000000" w:fill="002060"/>
            <w:noWrap/>
            <w:vAlign w:val="center"/>
            <w:hideMark/>
          </w:tcPr>
          <w:p w:rsidR="0078238A" w:rsidRPr="0078238A" w:rsidRDefault="0078238A" w:rsidP="0078238A">
            <w:pPr>
              <w:spacing w:after="0" w:line="240" w:lineRule="auto"/>
              <w:jc w:val="center"/>
              <w:rPr>
                <w:rFonts w:eastAsia="Times New Roman" w:cs="Calibri"/>
                <w:b/>
                <w:bCs/>
                <w:color w:val="FFFFFF"/>
                <w:sz w:val="18"/>
                <w:szCs w:val="18"/>
                <w:lang w:eastAsia="es-MX"/>
              </w:rPr>
            </w:pPr>
            <w:r w:rsidRPr="0078238A">
              <w:rPr>
                <w:rFonts w:eastAsia="Times New Roman" w:cs="Calibri"/>
                <w:b/>
                <w:bCs/>
                <w:color w:val="FFFFFF"/>
                <w:sz w:val="18"/>
                <w:szCs w:val="18"/>
                <w:lang w:eastAsia="es-MX"/>
              </w:rPr>
              <w:t>Asignado</w:t>
            </w:r>
          </w:p>
        </w:tc>
        <w:tc>
          <w:tcPr>
            <w:tcW w:w="1512" w:type="dxa"/>
            <w:tcBorders>
              <w:top w:val="single" w:sz="4" w:space="0" w:color="FFFFFF"/>
              <w:left w:val="nil"/>
              <w:bottom w:val="single" w:sz="4" w:space="0" w:color="FFFFFF"/>
              <w:right w:val="single" w:sz="4" w:space="0" w:color="FFFFFF"/>
            </w:tcBorders>
            <w:shd w:val="clear" w:color="000000" w:fill="002060"/>
            <w:noWrap/>
            <w:vAlign w:val="center"/>
            <w:hideMark/>
          </w:tcPr>
          <w:p w:rsidR="0078238A" w:rsidRPr="0078238A" w:rsidRDefault="0078238A" w:rsidP="0078238A">
            <w:pPr>
              <w:spacing w:after="0" w:line="240" w:lineRule="auto"/>
              <w:jc w:val="center"/>
              <w:rPr>
                <w:rFonts w:eastAsia="Times New Roman" w:cs="Calibri"/>
                <w:b/>
                <w:bCs/>
                <w:color w:val="FFFFFF"/>
                <w:sz w:val="18"/>
                <w:szCs w:val="18"/>
                <w:lang w:eastAsia="es-MX"/>
              </w:rPr>
            </w:pPr>
            <w:r w:rsidRPr="0078238A">
              <w:rPr>
                <w:rFonts w:eastAsia="Times New Roman" w:cs="Calibri"/>
                <w:b/>
                <w:bCs/>
                <w:color w:val="FFFFFF"/>
                <w:sz w:val="18"/>
                <w:szCs w:val="18"/>
                <w:lang w:eastAsia="es-MX"/>
              </w:rPr>
              <w:t>Modificado</w:t>
            </w:r>
          </w:p>
        </w:tc>
        <w:tc>
          <w:tcPr>
            <w:tcW w:w="1145" w:type="dxa"/>
            <w:tcBorders>
              <w:top w:val="single" w:sz="4" w:space="0" w:color="FFFFFF"/>
              <w:left w:val="nil"/>
              <w:bottom w:val="single" w:sz="4" w:space="0" w:color="FFFFFF"/>
              <w:right w:val="single" w:sz="4" w:space="0" w:color="FFFFFF"/>
            </w:tcBorders>
            <w:shd w:val="clear" w:color="000000" w:fill="002060"/>
            <w:vAlign w:val="center"/>
            <w:hideMark/>
          </w:tcPr>
          <w:p w:rsidR="0078238A" w:rsidRPr="0078238A" w:rsidRDefault="0078238A" w:rsidP="0078238A">
            <w:pPr>
              <w:spacing w:after="0" w:line="240" w:lineRule="auto"/>
              <w:jc w:val="center"/>
              <w:rPr>
                <w:rFonts w:eastAsia="Times New Roman" w:cs="Calibri"/>
                <w:b/>
                <w:bCs/>
                <w:color w:val="FFFFFF"/>
                <w:sz w:val="18"/>
                <w:szCs w:val="18"/>
                <w:lang w:eastAsia="es-MX"/>
              </w:rPr>
            </w:pPr>
            <w:r w:rsidRPr="0078238A">
              <w:rPr>
                <w:rFonts w:eastAsia="Times New Roman" w:cs="Calibri"/>
                <w:b/>
                <w:bCs/>
                <w:color w:val="FFFFFF"/>
                <w:sz w:val="18"/>
                <w:szCs w:val="18"/>
                <w:lang w:eastAsia="es-MX"/>
              </w:rPr>
              <w:t>Ejercido</w:t>
            </w:r>
          </w:p>
        </w:tc>
        <w:tc>
          <w:tcPr>
            <w:tcW w:w="3502" w:type="dxa"/>
            <w:tcBorders>
              <w:top w:val="single" w:sz="4" w:space="0" w:color="FFFFFF"/>
              <w:left w:val="nil"/>
              <w:bottom w:val="single" w:sz="4" w:space="0" w:color="FFFFFF"/>
              <w:right w:val="single" w:sz="4" w:space="0" w:color="FFFFFF"/>
            </w:tcBorders>
            <w:shd w:val="clear" w:color="000000" w:fill="002060"/>
            <w:vAlign w:val="center"/>
            <w:hideMark/>
          </w:tcPr>
          <w:p w:rsidR="0078238A" w:rsidRPr="0078238A" w:rsidRDefault="0078238A" w:rsidP="0078238A">
            <w:pPr>
              <w:spacing w:after="0" w:line="240" w:lineRule="auto"/>
              <w:jc w:val="center"/>
              <w:rPr>
                <w:rFonts w:eastAsia="Times New Roman" w:cs="Calibri"/>
                <w:b/>
                <w:bCs/>
                <w:color w:val="FFFFFF"/>
                <w:sz w:val="18"/>
                <w:szCs w:val="18"/>
                <w:lang w:eastAsia="es-MX"/>
              </w:rPr>
            </w:pPr>
            <w:r w:rsidRPr="0078238A">
              <w:rPr>
                <w:rFonts w:eastAsia="Times New Roman" w:cs="Calibri"/>
                <w:b/>
                <w:bCs/>
                <w:color w:val="FFFFFF"/>
                <w:sz w:val="18"/>
                <w:szCs w:val="18"/>
                <w:lang w:eastAsia="es-MX"/>
              </w:rPr>
              <w:t xml:space="preserve">Impacto de los apoyos otorgados </w:t>
            </w:r>
          </w:p>
        </w:tc>
      </w:tr>
      <w:tr w:rsidR="0078238A" w:rsidRPr="0078238A" w:rsidTr="0078238A">
        <w:trPr>
          <w:trHeight w:val="31"/>
        </w:trPr>
        <w:tc>
          <w:tcPr>
            <w:tcW w:w="1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238A" w:rsidRPr="0078238A" w:rsidRDefault="0078238A" w:rsidP="0078238A">
            <w:pPr>
              <w:spacing w:after="0" w:line="240" w:lineRule="auto"/>
              <w:jc w:val="both"/>
              <w:rPr>
                <w:rFonts w:eastAsia="Times New Roman" w:cs="Calibri"/>
                <w:color w:val="000000"/>
                <w:sz w:val="18"/>
                <w:szCs w:val="18"/>
                <w:lang w:eastAsia="es-MX"/>
              </w:rPr>
            </w:pPr>
            <w:r w:rsidRPr="0078238A">
              <w:rPr>
                <w:rFonts w:eastAsia="Times New Roman" w:cs="Calibri"/>
                <w:color w:val="000000"/>
                <w:sz w:val="18"/>
                <w:szCs w:val="18"/>
                <w:lang w:eastAsia="es-MX"/>
              </w:rPr>
              <w:t>Programa para el Desarrollo Profesional Docente</w:t>
            </w:r>
          </w:p>
        </w:tc>
        <w:tc>
          <w:tcPr>
            <w:tcW w:w="1495" w:type="dxa"/>
            <w:tcBorders>
              <w:top w:val="single" w:sz="4" w:space="0" w:color="auto"/>
              <w:left w:val="nil"/>
              <w:bottom w:val="single" w:sz="4" w:space="0" w:color="auto"/>
              <w:right w:val="single" w:sz="4" w:space="0" w:color="auto"/>
            </w:tcBorders>
            <w:shd w:val="clear" w:color="auto" w:fill="auto"/>
            <w:noWrap/>
            <w:vAlign w:val="center"/>
            <w:hideMark/>
          </w:tcPr>
          <w:p w:rsidR="0078238A" w:rsidRPr="0078238A" w:rsidRDefault="0078238A" w:rsidP="0078238A">
            <w:pPr>
              <w:spacing w:after="0" w:line="240" w:lineRule="auto"/>
              <w:jc w:val="both"/>
              <w:rPr>
                <w:rFonts w:eastAsia="Times New Roman" w:cs="Calibri"/>
                <w:color w:val="000000"/>
                <w:sz w:val="18"/>
                <w:szCs w:val="18"/>
                <w:lang w:eastAsia="es-MX"/>
              </w:rPr>
            </w:pPr>
            <w:r w:rsidRPr="0078238A">
              <w:rPr>
                <w:rFonts w:eastAsia="Times New Roman" w:cs="Calibri"/>
                <w:color w:val="000000"/>
                <w:sz w:val="18"/>
                <w:szCs w:val="18"/>
                <w:lang w:eastAsia="es-MX"/>
              </w:rPr>
              <w:t>$29,685,600.00</w:t>
            </w:r>
          </w:p>
        </w:tc>
        <w:tc>
          <w:tcPr>
            <w:tcW w:w="1512" w:type="dxa"/>
            <w:tcBorders>
              <w:top w:val="single" w:sz="4" w:space="0" w:color="auto"/>
              <w:left w:val="nil"/>
              <w:bottom w:val="single" w:sz="4" w:space="0" w:color="auto"/>
              <w:right w:val="single" w:sz="4" w:space="0" w:color="auto"/>
            </w:tcBorders>
            <w:shd w:val="clear" w:color="auto" w:fill="auto"/>
            <w:noWrap/>
            <w:vAlign w:val="center"/>
            <w:hideMark/>
          </w:tcPr>
          <w:p w:rsidR="0078238A" w:rsidRPr="0078238A" w:rsidRDefault="0078238A" w:rsidP="0078238A">
            <w:pPr>
              <w:spacing w:after="0" w:line="240" w:lineRule="auto"/>
              <w:jc w:val="both"/>
              <w:rPr>
                <w:rFonts w:eastAsia="Times New Roman" w:cs="Calibri"/>
                <w:color w:val="000000"/>
                <w:sz w:val="18"/>
                <w:szCs w:val="18"/>
                <w:lang w:eastAsia="es-MX"/>
              </w:rPr>
            </w:pPr>
            <w:r w:rsidRPr="0078238A">
              <w:rPr>
                <w:rFonts w:eastAsia="Times New Roman" w:cs="Calibri"/>
                <w:color w:val="000000"/>
                <w:sz w:val="18"/>
                <w:szCs w:val="18"/>
                <w:lang w:eastAsia="es-MX"/>
              </w:rPr>
              <w:t xml:space="preserve"> $18,246,573.00</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rsidR="0078238A" w:rsidRPr="0078238A" w:rsidRDefault="0078238A" w:rsidP="0078238A">
            <w:pPr>
              <w:spacing w:after="0" w:line="240" w:lineRule="auto"/>
              <w:jc w:val="both"/>
              <w:rPr>
                <w:rFonts w:eastAsia="Times New Roman" w:cs="Calibri"/>
                <w:color w:val="000000"/>
                <w:sz w:val="18"/>
                <w:szCs w:val="18"/>
                <w:lang w:eastAsia="es-MX"/>
              </w:rPr>
            </w:pPr>
            <w:r w:rsidRPr="0078238A">
              <w:rPr>
                <w:rFonts w:eastAsia="Times New Roman" w:cs="Calibri"/>
                <w:color w:val="000000"/>
                <w:sz w:val="18"/>
                <w:szCs w:val="18"/>
                <w:lang w:eastAsia="es-MX"/>
              </w:rPr>
              <w:t>$118,000.00</w:t>
            </w:r>
          </w:p>
        </w:tc>
        <w:tc>
          <w:tcPr>
            <w:tcW w:w="3502" w:type="dxa"/>
            <w:tcBorders>
              <w:top w:val="single" w:sz="4" w:space="0" w:color="auto"/>
              <w:left w:val="nil"/>
              <w:bottom w:val="single" w:sz="4" w:space="0" w:color="auto"/>
              <w:right w:val="single" w:sz="4" w:space="0" w:color="auto"/>
            </w:tcBorders>
            <w:shd w:val="clear" w:color="auto" w:fill="auto"/>
            <w:noWrap/>
            <w:vAlign w:val="center"/>
            <w:hideMark/>
          </w:tcPr>
          <w:p w:rsidR="0078238A" w:rsidRPr="0078238A" w:rsidRDefault="0078238A" w:rsidP="0078238A">
            <w:pPr>
              <w:pStyle w:val="Prrafodelista"/>
              <w:numPr>
                <w:ilvl w:val="0"/>
                <w:numId w:val="2"/>
              </w:numPr>
              <w:spacing w:after="0" w:line="240" w:lineRule="auto"/>
              <w:ind w:left="197" w:hanging="219"/>
              <w:jc w:val="both"/>
              <w:rPr>
                <w:rFonts w:eastAsia="Times New Roman" w:cs="Calibri"/>
                <w:sz w:val="18"/>
                <w:szCs w:val="18"/>
                <w:lang w:eastAsia="es-MX"/>
              </w:rPr>
            </w:pPr>
            <w:r w:rsidRPr="0078238A">
              <w:rPr>
                <w:rFonts w:eastAsia="Times New Roman" w:cs="Calibri"/>
                <w:sz w:val="18"/>
                <w:szCs w:val="18"/>
                <w:lang w:eastAsia="es-MX"/>
              </w:rPr>
              <w:t xml:space="preserve">102 </w:t>
            </w:r>
            <w:r w:rsidRPr="0078238A">
              <w:rPr>
                <w:rFonts w:eastAsia="Times New Roman" w:cs="Calibri"/>
                <w:bCs/>
                <w:sz w:val="18"/>
                <w:szCs w:val="18"/>
                <w:lang w:eastAsia="es-MX"/>
              </w:rPr>
              <w:t>PTC con proyectos aprobados.</w:t>
            </w:r>
          </w:p>
          <w:p w:rsidR="0078238A" w:rsidRPr="0078238A" w:rsidRDefault="0078238A" w:rsidP="0078238A">
            <w:pPr>
              <w:pStyle w:val="Prrafodelista"/>
              <w:numPr>
                <w:ilvl w:val="0"/>
                <w:numId w:val="2"/>
              </w:numPr>
              <w:spacing w:after="0" w:line="240" w:lineRule="auto"/>
              <w:ind w:left="197" w:hanging="219"/>
              <w:jc w:val="both"/>
              <w:rPr>
                <w:rFonts w:eastAsia="Times New Roman" w:cs="Calibri"/>
                <w:sz w:val="18"/>
                <w:szCs w:val="18"/>
                <w:lang w:eastAsia="es-MX"/>
              </w:rPr>
            </w:pPr>
            <w:r w:rsidRPr="0078238A">
              <w:rPr>
                <w:rFonts w:eastAsia="Times New Roman" w:cs="Calibri"/>
                <w:sz w:val="18"/>
                <w:szCs w:val="18"/>
                <w:lang w:eastAsia="es-MX"/>
              </w:rPr>
              <w:t xml:space="preserve">42 </w:t>
            </w:r>
            <w:proofErr w:type="gramStart"/>
            <w:r w:rsidRPr="0078238A">
              <w:rPr>
                <w:rFonts w:eastAsia="Times New Roman" w:cs="Calibri"/>
                <w:sz w:val="18"/>
                <w:szCs w:val="18"/>
                <w:lang w:eastAsia="es-MX"/>
              </w:rPr>
              <w:t>Cuerpos</w:t>
            </w:r>
            <w:proofErr w:type="gramEnd"/>
            <w:r w:rsidRPr="0078238A">
              <w:rPr>
                <w:rFonts w:eastAsia="Times New Roman" w:cs="Calibri"/>
                <w:sz w:val="18"/>
                <w:szCs w:val="18"/>
                <w:lang w:eastAsia="es-MX"/>
              </w:rPr>
              <w:t xml:space="preserve"> Académicos consolidados y 50 En Consolidación.</w:t>
            </w:r>
          </w:p>
          <w:p w:rsidR="0078238A" w:rsidRPr="0078238A" w:rsidRDefault="0078238A" w:rsidP="0078238A">
            <w:pPr>
              <w:pStyle w:val="Prrafodelista"/>
              <w:numPr>
                <w:ilvl w:val="0"/>
                <w:numId w:val="2"/>
              </w:numPr>
              <w:spacing w:after="0" w:line="240" w:lineRule="auto"/>
              <w:ind w:left="197" w:hanging="219"/>
              <w:jc w:val="both"/>
              <w:rPr>
                <w:rFonts w:eastAsia="Times New Roman" w:cs="Calibri"/>
                <w:sz w:val="18"/>
                <w:szCs w:val="18"/>
                <w:lang w:eastAsia="es-MX"/>
              </w:rPr>
            </w:pPr>
            <w:r w:rsidRPr="0078238A">
              <w:rPr>
                <w:rFonts w:eastAsia="Times New Roman" w:cs="Calibri"/>
                <w:sz w:val="18"/>
                <w:szCs w:val="18"/>
                <w:lang w:eastAsia="es-MX"/>
              </w:rPr>
              <w:t xml:space="preserve">56 </w:t>
            </w:r>
            <w:proofErr w:type="gramStart"/>
            <w:r w:rsidRPr="0078238A">
              <w:rPr>
                <w:rFonts w:eastAsia="Times New Roman" w:cs="Calibri"/>
                <w:sz w:val="18"/>
                <w:szCs w:val="18"/>
                <w:lang w:eastAsia="es-MX"/>
              </w:rPr>
              <w:t>Programas</w:t>
            </w:r>
            <w:proofErr w:type="gramEnd"/>
            <w:r w:rsidRPr="0078238A">
              <w:rPr>
                <w:rFonts w:eastAsia="Times New Roman" w:cs="Calibri"/>
                <w:sz w:val="18"/>
                <w:szCs w:val="18"/>
                <w:lang w:eastAsia="es-MX"/>
              </w:rPr>
              <w:t xml:space="preserve"> Educativos con Reconocimiento de Calidad.</w:t>
            </w:r>
          </w:p>
        </w:tc>
      </w:tr>
    </w:tbl>
    <w:p w:rsidR="0078238A" w:rsidRDefault="004A17FB" w:rsidP="0078238A">
      <w:pPr>
        <w:jc w:val="both"/>
      </w:pPr>
      <w:r>
        <w:t>E</w:t>
      </w:r>
      <w:r w:rsidR="004C5EBD">
        <w:t>n este sentido el</w:t>
      </w:r>
      <w:r>
        <w:t xml:space="preserve"> PRODEP en la </w:t>
      </w:r>
      <w:r w:rsidR="00462E41">
        <w:t>Universidad de Guanajuato</w:t>
      </w:r>
      <w:r w:rsidR="00612391">
        <w:t xml:space="preserve"> </w:t>
      </w:r>
      <w:r w:rsidR="003A5C9F">
        <w:t xml:space="preserve">reconoce a </w:t>
      </w:r>
      <w:r w:rsidR="0045551A">
        <w:t>P</w:t>
      </w:r>
      <w:r w:rsidR="003A5C9F">
        <w:t xml:space="preserve">rofesores </w:t>
      </w:r>
      <w:r w:rsidR="0045551A">
        <w:t xml:space="preserve">de Tiempo Completo (PTC) </w:t>
      </w:r>
      <w:r w:rsidR="003A5C9F">
        <w:t>que cumplen</w:t>
      </w:r>
      <w:r w:rsidR="00462E41" w:rsidRPr="00692D41">
        <w:t xml:space="preserve"> con eficacia y equilibrio sus funciones de profesor de tiempo completo, </w:t>
      </w:r>
      <w:r w:rsidR="002E4FA1">
        <w:t xml:space="preserve">así </w:t>
      </w:r>
      <w:r w:rsidR="00462E41" w:rsidRPr="00692D41">
        <w:t xml:space="preserve">como </w:t>
      </w:r>
      <w:r w:rsidR="002E4FA1">
        <w:t xml:space="preserve">en </w:t>
      </w:r>
      <w:r w:rsidR="00462E41" w:rsidRPr="00692D41">
        <w:t>atender la generación y aplicación del conocimiento, ejercer la docencia y participar en actividades de tutorías y gestión académica, así como dotar de los implementos básicos para el trabajo académico a los profesores reconocidos con el perfil</w:t>
      </w:r>
      <w:r w:rsidR="00612391">
        <w:t xml:space="preserve"> a través del PRODEP 2018</w:t>
      </w:r>
      <w:r w:rsidR="00462E41" w:rsidRPr="00692D41">
        <w:t>.</w:t>
      </w:r>
      <w:r w:rsidR="0078238A" w:rsidRPr="0078238A">
        <w:t xml:space="preserve"> </w:t>
      </w:r>
    </w:p>
    <w:p w:rsidR="0078238A" w:rsidRDefault="0078238A" w:rsidP="0078238A">
      <w:pPr>
        <w:jc w:val="both"/>
      </w:pPr>
      <w:r>
        <w:t>A</w:t>
      </w:r>
      <w:r w:rsidRPr="00837DF2">
        <w:t>vance del programa al tercer trimestre del 2018:</w:t>
      </w:r>
    </w:p>
    <w:p w:rsidR="005C1A70" w:rsidRDefault="005C1A70" w:rsidP="0078238A">
      <w:pPr>
        <w:spacing w:line="240" w:lineRule="auto"/>
        <w:rPr>
          <w:rFonts w:ascii="Arial" w:hAnsi="Arial" w:cs="Arial"/>
          <w:b/>
          <w:sz w:val="20"/>
          <w:szCs w:val="21"/>
          <w:shd w:val="clear" w:color="auto" w:fill="FFFFFF"/>
        </w:rPr>
      </w:pPr>
      <w:r w:rsidRPr="005C1A70">
        <w:rPr>
          <w:rFonts w:ascii="Arial" w:hAnsi="Arial" w:cs="Arial"/>
          <w:b/>
          <w:sz w:val="20"/>
          <w:szCs w:val="21"/>
          <w:shd w:val="clear" w:color="auto" w:fill="FFFFFF"/>
        </w:rPr>
        <w:lastRenderedPageBreak/>
        <w:t>Programa de Carrera Docente en UPES</w:t>
      </w:r>
    </w:p>
    <w:p w:rsidR="005C1A70" w:rsidRPr="00B338EC" w:rsidRDefault="00B338EC" w:rsidP="003A5C9F">
      <w:pPr>
        <w:jc w:val="both"/>
      </w:pPr>
      <w:r w:rsidRPr="00B338EC">
        <w:t>Para estimular la educación superior y fortalecer los valores inherentes a la enseñanza, la Secretaría de Hacienda y Crédito Público, a través de la Secretaría de Educación Pública ha establecido el Programa de Carrera Docente en Universidades Públicas Estatales (UPES), el cual tiene como objetivo fundamental valorar y estimular el desarrollo del personal docente en las categorías de tiempo completo , medio tiempo y asignatura que realicen con calidad, dedicación y permanencia las actividades de docencia, investigación, tutorías y participación en cuerpos colegiados.</w:t>
      </w:r>
    </w:p>
    <w:p w:rsidR="005C1A70" w:rsidRDefault="00C6495A" w:rsidP="003A5C9F">
      <w:pPr>
        <w:jc w:val="both"/>
      </w:pPr>
      <w:r>
        <w:t>La lista de b</w:t>
      </w:r>
      <w:r w:rsidR="00D64444">
        <w:t xml:space="preserve">eneficiarios </w:t>
      </w:r>
      <w:r>
        <w:t xml:space="preserve">y el avance correspondiente </w:t>
      </w:r>
      <w:r w:rsidR="00D64444">
        <w:t xml:space="preserve">de este programa </w:t>
      </w:r>
      <w:r w:rsidR="00D64444" w:rsidRPr="00A52A21">
        <w:t>al tercer trimestre del 2018</w:t>
      </w:r>
      <w:r>
        <w:t xml:space="preserve"> se encuentra en la siguiente liga</w:t>
      </w:r>
      <w:r w:rsidR="00D64444" w:rsidRPr="00A52A21">
        <w:t>:</w:t>
      </w:r>
    </w:p>
    <w:p w:rsidR="005C1A70" w:rsidRPr="005C1A70" w:rsidRDefault="00C6495A" w:rsidP="003A5C9F">
      <w:pPr>
        <w:jc w:val="both"/>
        <w:rPr>
          <w:rStyle w:val="Hipervnculo"/>
        </w:rPr>
      </w:pPr>
      <w:hyperlink r:id="rId8" w:history="1">
        <w:r w:rsidRPr="00E716AD">
          <w:rPr>
            <w:rStyle w:val="Hipervnculo"/>
          </w:rPr>
          <w:t>http://www.ugto.mx/images/presupuesto-federal-extraordinario/2018/2-informe-trimestre-programa-jul-sept-U040-2018-201</w:t>
        </w:r>
        <w:r w:rsidRPr="00E716AD">
          <w:rPr>
            <w:rStyle w:val="Hipervnculo"/>
          </w:rPr>
          <w:t>9</w:t>
        </w:r>
        <w:r w:rsidRPr="00E716AD">
          <w:rPr>
            <w:rStyle w:val="Hipervnculo"/>
          </w:rPr>
          <w:t>.pdf</w:t>
        </w:r>
      </w:hyperlink>
      <w:r>
        <w:rPr>
          <w:rStyle w:val="Hipervnculo"/>
        </w:rPr>
        <w:t xml:space="preserve"> </w:t>
      </w:r>
    </w:p>
    <w:p w:rsidR="005C1A70" w:rsidRDefault="005C1A70" w:rsidP="0078238A">
      <w:pPr>
        <w:spacing w:line="240" w:lineRule="auto"/>
        <w:jc w:val="both"/>
        <w:rPr>
          <w:rFonts w:ascii="Arial" w:hAnsi="Arial" w:cs="Arial"/>
          <w:b/>
          <w:sz w:val="20"/>
          <w:szCs w:val="21"/>
          <w:shd w:val="clear" w:color="auto" w:fill="FFFFFF"/>
        </w:rPr>
      </w:pPr>
    </w:p>
    <w:p w:rsidR="00167E06" w:rsidRDefault="00157193" w:rsidP="0078238A">
      <w:pPr>
        <w:spacing w:line="240" w:lineRule="auto"/>
        <w:jc w:val="both"/>
        <w:rPr>
          <w:rFonts w:ascii="Arial" w:hAnsi="Arial" w:cs="Arial"/>
          <w:color w:val="0070C0"/>
          <w:sz w:val="20"/>
          <w:szCs w:val="21"/>
          <w:shd w:val="clear" w:color="auto" w:fill="FFFFFF"/>
        </w:rPr>
      </w:pPr>
      <w:r w:rsidRPr="00157193">
        <w:rPr>
          <w:rFonts w:ascii="Arial" w:hAnsi="Arial" w:cs="Arial"/>
          <w:b/>
          <w:sz w:val="20"/>
          <w:szCs w:val="21"/>
          <w:shd w:val="clear" w:color="auto" w:fill="FFFFFF"/>
        </w:rPr>
        <w:t>Fondo de Apoyo para el Saneamiento Financiero y la Atención a Problemas Estructurales de las UPE</w:t>
      </w:r>
      <w:r w:rsidR="00D61925">
        <w:rPr>
          <w:rFonts w:ascii="Arial" w:hAnsi="Arial" w:cs="Arial"/>
          <w:b/>
          <w:sz w:val="20"/>
          <w:szCs w:val="21"/>
          <w:shd w:val="clear" w:color="auto" w:fill="FFFFFF"/>
        </w:rPr>
        <w:t xml:space="preserve"> </w:t>
      </w:r>
    </w:p>
    <w:p w:rsidR="002F422B" w:rsidRDefault="002F422B" w:rsidP="002F422B">
      <w:pPr>
        <w:spacing w:after="0" w:line="240" w:lineRule="auto"/>
        <w:jc w:val="both"/>
      </w:pPr>
      <w:r>
        <w:t xml:space="preserve">El Plan Nacional de Desarrollo 2013-2018, en su Meta Nacional 3 denominada "Un México con Educación de Calidad", Objetivo 3.1., establece desarrollar el potencial humano de los mexicanos con educación de calidad, y en base a su estrategia 3.1.3, se pretende garantizar que los planes y programas de estudio sean pertinentes y contribuyan a que los estudiantes puedan avanzar exitosamente a su trayectoria educativa, al tiempo que desarrollen aprendizajes significativos y competencias que les sirva a lo largo de la vida. </w:t>
      </w:r>
    </w:p>
    <w:p w:rsidR="0009067D" w:rsidRDefault="0009067D" w:rsidP="002F422B">
      <w:pPr>
        <w:spacing w:after="0" w:line="240" w:lineRule="auto"/>
        <w:jc w:val="both"/>
      </w:pPr>
    </w:p>
    <w:p w:rsidR="0009067D" w:rsidRDefault="0009067D" w:rsidP="002F422B">
      <w:pPr>
        <w:spacing w:after="0" w:line="240" w:lineRule="auto"/>
        <w:jc w:val="both"/>
      </w:pPr>
      <w:r>
        <w:t>El Plan Nacional de Desarrollo considera el establecer un enfoque de educación financiera, el cual se traduce en crear y analizar una planeación del gasto y del ahorro, a fin de que las instituciones educativas estén incluidas en un sistema de saneamiento financiero.</w:t>
      </w:r>
    </w:p>
    <w:p w:rsidR="0009067D" w:rsidRDefault="0009067D" w:rsidP="002F422B">
      <w:pPr>
        <w:spacing w:after="0" w:line="240" w:lineRule="auto"/>
        <w:jc w:val="both"/>
      </w:pPr>
    </w:p>
    <w:p w:rsidR="0009067D" w:rsidRDefault="0009067D" w:rsidP="002F422B">
      <w:pPr>
        <w:spacing w:after="0" w:line="240" w:lineRule="auto"/>
        <w:jc w:val="both"/>
      </w:pPr>
      <w:r>
        <w:t xml:space="preserve">El </w:t>
      </w:r>
      <w:r w:rsidR="00D167EB">
        <w:t>Programa Sectorial</w:t>
      </w:r>
      <w:r w:rsidR="00BE4FF4">
        <w:t xml:space="preserve"> de Educación 2013-2018, prevé en su objetivo 3, “Asegurar mayor cobertura, inclusión y equidad educativa entre todos los grupos de la población para la construcción de una sociedad más justa”. </w:t>
      </w:r>
    </w:p>
    <w:p w:rsidR="002F422B" w:rsidRDefault="002F422B" w:rsidP="00FF7ECB">
      <w:pPr>
        <w:spacing w:after="0" w:line="240" w:lineRule="auto"/>
      </w:pPr>
    </w:p>
    <w:p w:rsidR="003A5C9F" w:rsidRPr="00A52A21" w:rsidRDefault="00BE4FF4" w:rsidP="00C0295A">
      <w:pPr>
        <w:jc w:val="both"/>
      </w:pPr>
      <w:r>
        <w:t xml:space="preserve">La Secretaría de Educación Pública aporta a la Universidad de Guanajuato recursos </w:t>
      </w:r>
      <w:r w:rsidR="00FD5FFC">
        <w:t>p</w:t>
      </w:r>
      <w:r>
        <w:t xml:space="preserve">úblicos para llevar a cabo los objetivos, metas y acciones </w:t>
      </w:r>
      <w:r w:rsidR="006A2E2D" w:rsidRPr="006A2E2D">
        <w:t xml:space="preserve">para la modalidad </w:t>
      </w:r>
      <w:r w:rsidR="006A2E2D">
        <w:t>“</w:t>
      </w:r>
      <w:r w:rsidR="006A2E2D" w:rsidRPr="006A2E2D">
        <w:t>Reformas Estructurales</w:t>
      </w:r>
      <w:r w:rsidR="006A2E2D">
        <w:t>”</w:t>
      </w:r>
      <w:r w:rsidR="006A2E2D" w:rsidRPr="006A2E2D">
        <w:t xml:space="preserve"> y la modalidad </w:t>
      </w:r>
      <w:r w:rsidR="006A2E2D">
        <w:t>“</w:t>
      </w:r>
      <w:r w:rsidR="006A2E2D" w:rsidRPr="006A2E2D">
        <w:t>Reconocimiento de Plantillas de Personal Administrativo</w:t>
      </w:r>
      <w:r w:rsidR="00401EBA">
        <w:t>”</w:t>
      </w:r>
      <w:r w:rsidR="006A2E2D" w:rsidRPr="006A2E2D">
        <w:t>.</w:t>
      </w:r>
    </w:p>
    <w:p w:rsidR="00FA7CB5" w:rsidRDefault="00FA7CB5" w:rsidP="00FA7CB5">
      <w:pPr>
        <w:jc w:val="both"/>
        <w:rPr>
          <w:rFonts w:ascii="Arial" w:hAnsi="Arial" w:cs="Arial"/>
          <w:color w:val="333333"/>
          <w:sz w:val="20"/>
          <w:szCs w:val="21"/>
          <w:shd w:val="clear" w:color="auto" w:fill="FFFFFF"/>
        </w:rPr>
      </w:pPr>
      <w:r>
        <w:rPr>
          <w:rFonts w:ascii="Arial" w:hAnsi="Arial" w:cs="Arial"/>
          <w:color w:val="333333"/>
          <w:sz w:val="20"/>
          <w:szCs w:val="21"/>
          <w:shd w:val="clear" w:color="auto" w:fill="FFFFFF"/>
        </w:rPr>
        <w:t>La información y documentos correspondientes al avance de este programa al tercer trimestre del 2018 se encuentran disponibles en la siguiente liga:</w:t>
      </w:r>
    </w:p>
    <w:p w:rsidR="000822B8" w:rsidRPr="00594F15" w:rsidRDefault="00FA7CB5" w:rsidP="00C0295A">
      <w:pPr>
        <w:jc w:val="both"/>
        <w:rPr>
          <w:rStyle w:val="Hipervnculo"/>
        </w:rPr>
      </w:pPr>
      <w:hyperlink r:id="rId9" w:history="1">
        <w:r w:rsidRPr="00E716AD">
          <w:rPr>
            <w:rStyle w:val="Hipervnculo"/>
          </w:rPr>
          <w:t>http://www.ugto.mx/administracion-ug/presupuesto-fede</w:t>
        </w:r>
        <w:r w:rsidRPr="00E716AD">
          <w:rPr>
            <w:rStyle w:val="Hipervnculo"/>
          </w:rPr>
          <w:t>r</w:t>
        </w:r>
        <w:r w:rsidRPr="00E716AD">
          <w:rPr>
            <w:rStyle w:val="Hipervnculo"/>
          </w:rPr>
          <w:t>al-extraordinario</w:t>
        </w:r>
      </w:hyperlink>
      <w:r>
        <w:rPr>
          <w:rStyle w:val="Hipervnculo"/>
        </w:rPr>
        <w:t xml:space="preserve"> </w:t>
      </w:r>
    </w:p>
    <w:sectPr w:rsidR="000822B8" w:rsidRPr="00594F15" w:rsidSect="0078238A">
      <w:footerReference w:type="default" r:id="rId10"/>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1BCC" w:rsidRDefault="003C1BCC" w:rsidP="00151CF5">
      <w:pPr>
        <w:spacing w:after="0" w:line="240" w:lineRule="auto"/>
      </w:pPr>
      <w:r>
        <w:separator/>
      </w:r>
    </w:p>
  </w:endnote>
  <w:endnote w:type="continuationSeparator" w:id="0">
    <w:p w:rsidR="003C1BCC" w:rsidRDefault="003C1BCC" w:rsidP="00151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2483120"/>
      <w:docPartObj>
        <w:docPartGallery w:val="Page Numbers (Bottom of Page)"/>
        <w:docPartUnique/>
      </w:docPartObj>
    </w:sdtPr>
    <w:sdtContent>
      <w:p w:rsidR="00151CF5" w:rsidRDefault="00151CF5">
        <w:pPr>
          <w:pStyle w:val="Piedepgina"/>
          <w:jc w:val="right"/>
        </w:pPr>
        <w:r>
          <w:fldChar w:fldCharType="begin"/>
        </w:r>
        <w:r>
          <w:instrText>PAGE   \* MERGEFORMAT</w:instrText>
        </w:r>
        <w:r>
          <w:fldChar w:fldCharType="separate"/>
        </w:r>
        <w:r>
          <w:rPr>
            <w:lang w:val="es-ES"/>
          </w:rPr>
          <w:t>2</w:t>
        </w:r>
        <w:r>
          <w:fldChar w:fldCharType="end"/>
        </w:r>
      </w:p>
    </w:sdtContent>
  </w:sdt>
  <w:p w:rsidR="00151CF5" w:rsidRDefault="00151C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1BCC" w:rsidRDefault="003C1BCC" w:rsidP="00151CF5">
      <w:pPr>
        <w:spacing w:after="0" w:line="240" w:lineRule="auto"/>
      </w:pPr>
      <w:r>
        <w:separator/>
      </w:r>
    </w:p>
  </w:footnote>
  <w:footnote w:type="continuationSeparator" w:id="0">
    <w:p w:rsidR="003C1BCC" w:rsidRDefault="003C1BCC" w:rsidP="00151C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4D717F"/>
    <w:multiLevelType w:val="hybridMultilevel"/>
    <w:tmpl w:val="1B642CC4"/>
    <w:lvl w:ilvl="0" w:tplc="A57652D4">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4C326B3"/>
    <w:multiLevelType w:val="hybridMultilevel"/>
    <w:tmpl w:val="CF1E38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B5E"/>
    <w:rsid w:val="00073FBA"/>
    <w:rsid w:val="000822B8"/>
    <w:rsid w:val="0009067D"/>
    <w:rsid w:val="0009385E"/>
    <w:rsid w:val="000A67AE"/>
    <w:rsid w:val="000C18FC"/>
    <w:rsid w:val="00151CF5"/>
    <w:rsid w:val="00157193"/>
    <w:rsid w:val="00157EEF"/>
    <w:rsid w:val="001626A8"/>
    <w:rsid w:val="00167E06"/>
    <w:rsid w:val="00170FCA"/>
    <w:rsid w:val="00175DB1"/>
    <w:rsid w:val="001764DC"/>
    <w:rsid w:val="001E6A8B"/>
    <w:rsid w:val="001F4EF8"/>
    <w:rsid w:val="002166F7"/>
    <w:rsid w:val="002454D2"/>
    <w:rsid w:val="002627AE"/>
    <w:rsid w:val="002730EA"/>
    <w:rsid w:val="00273A9C"/>
    <w:rsid w:val="002A1F08"/>
    <w:rsid w:val="002C2795"/>
    <w:rsid w:val="002D4387"/>
    <w:rsid w:val="002E4FA1"/>
    <w:rsid w:val="002F422B"/>
    <w:rsid w:val="002F622E"/>
    <w:rsid w:val="003260EC"/>
    <w:rsid w:val="00331E6C"/>
    <w:rsid w:val="003370CD"/>
    <w:rsid w:val="0034334C"/>
    <w:rsid w:val="00365B2A"/>
    <w:rsid w:val="00381438"/>
    <w:rsid w:val="003A5C9F"/>
    <w:rsid w:val="003B49AC"/>
    <w:rsid w:val="003C1BCC"/>
    <w:rsid w:val="003C3B85"/>
    <w:rsid w:val="003D6A48"/>
    <w:rsid w:val="00401EBA"/>
    <w:rsid w:val="0045551A"/>
    <w:rsid w:val="00462E41"/>
    <w:rsid w:val="00491AFC"/>
    <w:rsid w:val="004A17FB"/>
    <w:rsid w:val="004C5EBD"/>
    <w:rsid w:val="004E025F"/>
    <w:rsid w:val="004E7638"/>
    <w:rsid w:val="0050340A"/>
    <w:rsid w:val="00513D50"/>
    <w:rsid w:val="00525FED"/>
    <w:rsid w:val="00533E94"/>
    <w:rsid w:val="00535CFD"/>
    <w:rsid w:val="0056172C"/>
    <w:rsid w:val="00586C0C"/>
    <w:rsid w:val="00590109"/>
    <w:rsid w:val="00594F15"/>
    <w:rsid w:val="005971C9"/>
    <w:rsid w:val="005A156C"/>
    <w:rsid w:val="005B424C"/>
    <w:rsid w:val="005C1A70"/>
    <w:rsid w:val="005C73CD"/>
    <w:rsid w:val="005E3B5E"/>
    <w:rsid w:val="0060392A"/>
    <w:rsid w:val="006059E1"/>
    <w:rsid w:val="00612391"/>
    <w:rsid w:val="00692D41"/>
    <w:rsid w:val="006A2E2D"/>
    <w:rsid w:val="006A5E6E"/>
    <w:rsid w:val="006F55C8"/>
    <w:rsid w:val="006F5D8C"/>
    <w:rsid w:val="00704B66"/>
    <w:rsid w:val="00704C35"/>
    <w:rsid w:val="00715289"/>
    <w:rsid w:val="00715CE4"/>
    <w:rsid w:val="00721CDA"/>
    <w:rsid w:val="00730D43"/>
    <w:rsid w:val="0074062E"/>
    <w:rsid w:val="00763978"/>
    <w:rsid w:val="007649AC"/>
    <w:rsid w:val="00776068"/>
    <w:rsid w:val="0078238A"/>
    <w:rsid w:val="00786785"/>
    <w:rsid w:val="00793A39"/>
    <w:rsid w:val="007D135E"/>
    <w:rsid w:val="007F5F70"/>
    <w:rsid w:val="0081405B"/>
    <w:rsid w:val="00823D10"/>
    <w:rsid w:val="00837DF2"/>
    <w:rsid w:val="00876C09"/>
    <w:rsid w:val="008844F9"/>
    <w:rsid w:val="008A4784"/>
    <w:rsid w:val="008E2121"/>
    <w:rsid w:val="008F31E1"/>
    <w:rsid w:val="00923AD6"/>
    <w:rsid w:val="00934417"/>
    <w:rsid w:val="009C2927"/>
    <w:rsid w:val="00A52A21"/>
    <w:rsid w:val="00AA6006"/>
    <w:rsid w:val="00AB7136"/>
    <w:rsid w:val="00AC1B5A"/>
    <w:rsid w:val="00AC32E6"/>
    <w:rsid w:val="00B16DD6"/>
    <w:rsid w:val="00B338EC"/>
    <w:rsid w:val="00B52D27"/>
    <w:rsid w:val="00B570C3"/>
    <w:rsid w:val="00B67766"/>
    <w:rsid w:val="00B67BC2"/>
    <w:rsid w:val="00B8018A"/>
    <w:rsid w:val="00B8357F"/>
    <w:rsid w:val="00BC2DC1"/>
    <w:rsid w:val="00BE4FF4"/>
    <w:rsid w:val="00BF33FA"/>
    <w:rsid w:val="00C0295A"/>
    <w:rsid w:val="00C26EC4"/>
    <w:rsid w:val="00C36532"/>
    <w:rsid w:val="00C43170"/>
    <w:rsid w:val="00C5432D"/>
    <w:rsid w:val="00C6495A"/>
    <w:rsid w:val="00C700A4"/>
    <w:rsid w:val="00C71541"/>
    <w:rsid w:val="00CF26A3"/>
    <w:rsid w:val="00D06B6A"/>
    <w:rsid w:val="00D167EB"/>
    <w:rsid w:val="00D26250"/>
    <w:rsid w:val="00D61925"/>
    <w:rsid w:val="00D64444"/>
    <w:rsid w:val="00DA2E23"/>
    <w:rsid w:val="00DC0C29"/>
    <w:rsid w:val="00DE47A0"/>
    <w:rsid w:val="00DE7795"/>
    <w:rsid w:val="00E11294"/>
    <w:rsid w:val="00E33BD5"/>
    <w:rsid w:val="00E430C1"/>
    <w:rsid w:val="00E55AFD"/>
    <w:rsid w:val="00EA0EAA"/>
    <w:rsid w:val="00EE08E4"/>
    <w:rsid w:val="00F412A7"/>
    <w:rsid w:val="00F57DEE"/>
    <w:rsid w:val="00FA7CB5"/>
    <w:rsid w:val="00FB1B15"/>
    <w:rsid w:val="00FC22A4"/>
    <w:rsid w:val="00FD5FFC"/>
    <w:rsid w:val="00FE41AB"/>
    <w:rsid w:val="00FE74EC"/>
    <w:rsid w:val="00FF5CD3"/>
    <w:rsid w:val="00FF7E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793B1"/>
  <w15:chartTrackingRefBased/>
  <w15:docId w15:val="{84965C4B-9FC6-4C3D-A17B-5407EC9BB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3B5E"/>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30D43"/>
    <w:rPr>
      <w:color w:val="0563C1" w:themeColor="hyperlink"/>
      <w:u w:val="single"/>
    </w:rPr>
  </w:style>
  <w:style w:type="character" w:styleId="Mencinsinresolver">
    <w:name w:val="Unresolved Mention"/>
    <w:basedOn w:val="Fuentedeprrafopredeter"/>
    <w:uiPriority w:val="99"/>
    <w:semiHidden/>
    <w:unhideWhenUsed/>
    <w:rsid w:val="00730D43"/>
    <w:rPr>
      <w:color w:val="808080"/>
      <w:shd w:val="clear" w:color="auto" w:fill="E6E6E6"/>
    </w:rPr>
  </w:style>
  <w:style w:type="paragraph" w:styleId="Prrafodelista">
    <w:name w:val="List Paragraph"/>
    <w:basedOn w:val="Normal"/>
    <w:uiPriority w:val="34"/>
    <w:qFormat/>
    <w:rsid w:val="000C18FC"/>
    <w:pPr>
      <w:ind w:left="720"/>
      <w:contextualSpacing/>
    </w:pPr>
  </w:style>
  <w:style w:type="table" w:styleId="Tablaconcuadrcula">
    <w:name w:val="Table Grid"/>
    <w:basedOn w:val="Tablanormal"/>
    <w:uiPriority w:val="39"/>
    <w:rsid w:val="003A5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C6495A"/>
    <w:rPr>
      <w:color w:val="954F72" w:themeColor="followedHyperlink"/>
      <w:u w:val="single"/>
    </w:rPr>
  </w:style>
  <w:style w:type="table" w:styleId="Tablaconcuadrcula4-nfasis1">
    <w:name w:val="Grid Table 4 Accent 1"/>
    <w:basedOn w:val="Tablanormal"/>
    <w:uiPriority w:val="49"/>
    <w:rsid w:val="00715CE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Encabezado">
    <w:name w:val="header"/>
    <w:basedOn w:val="Normal"/>
    <w:link w:val="EncabezadoCar"/>
    <w:uiPriority w:val="99"/>
    <w:unhideWhenUsed/>
    <w:rsid w:val="00151C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1CF5"/>
    <w:rPr>
      <w:rFonts w:ascii="Calibri" w:eastAsia="Calibri" w:hAnsi="Calibri" w:cs="Times New Roman"/>
    </w:rPr>
  </w:style>
  <w:style w:type="paragraph" w:styleId="Piedepgina">
    <w:name w:val="footer"/>
    <w:basedOn w:val="Normal"/>
    <w:link w:val="PiedepginaCar"/>
    <w:uiPriority w:val="99"/>
    <w:unhideWhenUsed/>
    <w:rsid w:val="00151C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1CF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35018">
      <w:bodyDiv w:val="1"/>
      <w:marLeft w:val="0"/>
      <w:marRight w:val="0"/>
      <w:marTop w:val="0"/>
      <w:marBottom w:val="0"/>
      <w:divBdr>
        <w:top w:val="none" w:sz="0" w:space="0" w:color="auto"/>
        <w:left w:val="none" w:sz="0" w:space="0" w:color="auto"/>
        <w:bottom w:val="none" w:sz="0" w:space="0" w:color="auto"/>
        <w:right w:val="none" w:sz="0" w:space="0" w:color="auto"/>
      </w:divBdr>
    </w:div>
    <w:div w:id="97651604">
      <w:bodyDiv w:val="1"/>
      <w:marLeft w:val="0"/>
      <w:marRight w:val="0"/>
      <w:marTop w:val="0"/>
      <w:marBottom w:val="0"/>
      <w:divBdr>
        <w:top w:val="none" w:sz="0" w:space="0" w:color="auto"/>
        <w:left w:val="none" w:sz="0" w:space="0" w:color="auto"/>
        <w:bottom w:val="none" w:sz="0" w:space="0" w:color="auto"/>
        <w:right w:val="none" w:sz="0" w:space="0" w:color="auto"/>
      </w:divBdr>
    </w:div>
    <w:div w:id="137915832">
      <w:bodyDiv w:val="1"/>
      <w:marLeft w:val="0"/>
      <w:marRight w:val="0"/>
      <w:marTop w:val="0"/>
      <w:marBottom w:val="0"/>
      <w:divBdr>
        <w:top w:val="none" w:sz="0" w:space="0" w:color="auto"/>
        <w:left w:val="none" w:sz="0" w:space="0" w:color="auto"/>
        <w:bottom w:val="none" w:sz="0" w:space="0" w:color="auto"/>
        <w:right w:val="none" w:sz="0" w:space="0" w:color="auto"/>
      </w:divBdr>
    </w:div>
    <w:div w:id="443621499">
      <w:bodyDiv w:val="1"/>
      <w:marLeft w:val="0"/>
      <w:marRight w:val="0"/>
      <w:marTop w:val="0"/>
      <w:marBottom w:val="0"/>
      <w:divBdr>
        <w:top w:val="none" w:sz="0" w:space="0" w:color="auto"/>
        <w:left w:val="none" w:sz="0" w:space="0" w:color="auto"/>
        <w:bottom w:val="none" w:sz="0" w:space="0" w:color="auto"/>
        <w:right w:val="none" w:sz="0" w:space="0" w:color="auto"/>
      </w:divBdr>
    </w:div>
    <w:div w:id="881602152">
      <w:bodyDiv w:val="1"/>
      <w:marLeft w:val="0"/>
      <w:marRight w:val="0"/>
      <w:marTop w:val="0"/>
      <w:marBottom w:val="0"/>
      <w:divBdr>
        <w:top w:val="none" w:sz="0" w:space="0" w:color="auto"/>
        <w:left w:val="none" w:sz="0" w:space="0" w:color="auto"/>
        <w:bottom w:val="none" w:sz="0" w:space="0" w:color="auto"/>
        <w:right w:val="none" w:sz="0" w:space="0" w:color="auto"/>
      </w:divBdr>
      <w:divsChild>
        <w:div w:id="1410884272">
          <w:marLeft w:val="0"/>
          <w:marRight w:val="0"/>
          <w:marTop w:val="0"/>
          <w:marBottom w:val="0"/>
          <w:divBdr>
            <w:top w:val="none" w:sz="0" w:space="0" w:color="auto"/>
            <w:left w:val="none" w:sz="0" w:space="0" w:color="auto"/>
            <w:bottom w:val="none" w:sz="0" w:space="0" w:color="auto"/>
            <w:right w:val="none" w:sz="0" w:space="0" w:color="auto"/>
          </w:divBdr>
        </w:div>
        <w:div w:id="626475133">
          <w:marLeft w:val="0"/>
          <w:marRight w:val="0"/>
          <w:marTop w:val="0"/>
          <w:marBottom w:val="0"/>
          <w:divBdr>
            <w:top w:val="none" w:sz="0" w:space="0" w:color="auto"/>
            <w:left w:val="none" w:sz="0" w:space="0" w:color="auto"/>
            <w:bottom w:val="none" w:sz="0" w:space="0" w:color="auto"/>
            <w:right w:val="none" w:sz="0" w:space="0" w:color="auto"/>
          </w:divBdr>
        </w:div>
        <w:div w:id="405418341">
          <w:marLeft w:val="0"/>
          <w:marRight w:val="0"/>
          <w:marTop w:val="0"/>
          <w:marBottom w:val="0"/>
          <w:divBdr>
            <w:top w:val="none" w:sz="0" w:space="0" w:color="auto"/>
            <w:left w:val="none" w:sz="0" w:space="0" w:color="auto"/>
            <w:bottom w:val="none" w:sz="0" w:space="0" w:color="auto"/>
            <w:right w:val="none" w:sz="0" w:space="0" w:color="auto"/>
          </w:divBdr>
        </w:div>
        <w:div w:id="402340779">
          <w:marLeft w:val="0"/>
          <w:marRight w:val="0"/>
          <w:marTop w:val="0"/>
          <w:marBottom w:val="0"/>
          <w:divBdr>
            <w:top w:val="none" w:sz="0" w:space="0" w:color="auto"/>
            <w:left w:val="none" w:sz="0" w:space="0" w:color="auto"/>
            <w:bottom w:val="none" w:sz="0" w:space="0" w:color="auto"/>
            <w:right w:val="none" w:sz="0" w:space="0" w:color="auto"/>
          </w:divBdr>
        </w:div>
      </w:divsChild>
    </w:div>
    <w:div w:id="969555598">
      <w:bodyDiv w:val="1"/>
      <w:marLeft w:val="0"/>
      <w:marRight w:val="0"/>
      <w:marTop w:val="0"/>
      <w:marBottom w:val="0"/>
      <w:divBdr>
        <w:top w:val="none" w:sz="0" w:space="0" w:color="auto"/>
        <w:left w:val="none" w:sz="0" w:space="0" w:color="auto"/>
        <w:bottom w:val="none" w:sz="0" w:space="0" w:color="auto"/>
        <w:right w:val="none" w:sz="0" w:space="0" w:color="auto"/>
      </w:divBdr>
    </w:div>
    <w:div w:id="1177305201">
      <w:bodyDiv w:val="1"/>
      <w:marLeft w:val="0"/>
      <w:marRight w:val="0"/>
      <w:marTop w:val="0"/>
      <w:marBottom w:val="0"/>
      <w:divBdr>
        <w:top w:val="none" w:sz="0" w:space="0" w:color="auto"/>
        <w:left w:val="none" w:sz="0" w:space="0" w:color="auto"/>
        <w:bottom w:val="none" w:sz="0" w:space="0" w:color="auto"/>
        <w:right w:val="none" w:sz="0" w:space="0" w:color="auto"/>
      </w:divBdr>
    </w:div>
    <w:div w:id="1370032379">
      <w:bodyDiv w:val="1"/>
      <w:marLeft w:val="0"/>
      <w:marRight w:val="0"/>
      <w:marTop w:val="0"/>
      <w:marBottom w:val="0"/>
      <w:divBdr>
        <w:top w:val="none" w:sz="0" w:space="0" w:color="auto"/>
        <w:left w:val="none" w:sz="0" w:space="0" w:color="auto"/>
        <w:bottom w:val="none" w:sz="0" w:space="0" w:color="auto"/>
        <w:right w:val="none" w:sz="0" w:space="0" w:color="auto"/>
      </w:divBdr>
      <w:divsChild>
        <w:div w:id="115220454">
          <w:marLeft w:val="0"/>
          <w:marRight w:val="0"/>
          <w:marTop w:val="0"/>
          <w:marBottom w:val="0"/>
          <w:divBdr>
            <w:top w:val="none" w:sz="0" w:space="0" w:color="auto"/>
            <w:left w:val="none" w:sz="0" w:space="0" w:color="auto"/>
            <w:bottom w:val="none" w:sz="0" w:space="0" w:color="auto"/>
            <w:right w:val="none" w:sz="0" w:space="0" w:color="auto"/>
          </w:divBdr>
        </w:div>
        <w:div w:id="1306088531">
          <w:marLeft w:val="0"/>
          <w:marRight w:val="0"/>
          <w:marTop w:val="0"/>
          <w:marBottom w:val="0"/>
          <w:divBdr>
            <w:top w:val="none" w:sz="0" w:space="0" w:color="auto"/>
            <w:left w:val="none" w:sz="0" w:space="0" w:color="auto"/>
            <w:bottom w:val="none" w:sz="0" w:space="0" w:color="auto"/>
            <w:right w:val="none" w:sz="0" w:space="0" w:color="auto"/>
          </w:divBdr>
        </w:div>
        <w:div w:id="506143085">
          <w:marLeft w:val="0"/>
          <w:marRight w:val="0"/>
          <w:marTop w:val="0"/>
          <w:marBottom w:val="0"/>
          <w:divBdr>
            <w:top w:val="none" w:sz="0" w:space="0" w:color="auto"/>
            <w:left w:val="none" w:sz="0" w:space="0" w:color="auto"/>
            <w:bottom w:val="none" w:sz="0" w:space="0" w:color="auto"/>
            <w:right w:val="none" w:sz="0" w:space="0" w:color="auto"/>
          </w:divBdr>
        </w:div>
        <w:div w:id="1579752080">
          <w:marLeft w:val="0"/>
          <w:marRight w:val="0"/>
          <w:marTop w:val="0"/>
          <w:marBottom w:val="0"/>
          <w:divBdr>
            <w:top w:val="none" w:sz="0" w:space="0" w:color="auto"/>
            <w:left w:val="none" w:sz="0" w:space="0" w:color="auto"/>
            <w:bottom w:val="none" w:sz="0" w:space="0" w:color="auto"/>
            <w:right w:val="none" w:sz="0" w:space="0" w:color="auto"/>
          </w:divBdr>
        </w:div>
        <w:div w:id="522402736">
          <w:marLeft w:val="0"/>
          <w:marRight w:val="0"/>
          <w:marTop w:val="0"/>
          <w:marBottom w:val="0"/>
          <w:divBdr>
            <w:top w:val="none" w:sz="0" w:space="0" w:color="auto"/>
            <w:left w:val="none" w:sz="0" w:space="0" w:color="auto"/>
            <w:bottom w:val="none" w:sz="0" w:space="0" w:color="auto"/>
            <w:right w:val="none" w:sz="0" w:space="0" w:color="auto"/>
          </w:divBdr>
        </w:div>
        <w:div w:id="1722754817">
          <w:marLeft w:val="0"/>
          <w:marRight w:val="0"/>
          <w:marTop w:val="0"/>
          <w:marBottom w:val="0"/>
          <w:divBdr>
            <w:top w:val="none" w:sz="0" w:space="0" w:color="auto"/>
            <w:left w:val="none" w:sz="0" w:space="0" w:color="auto"/>
            <w:bottom w:val="none" w:sz="0" w:space="0" w:color="auto"/>
            <w:right w:val="none" w:sz="0" w:space="0" w:color="auto"/>
          </w:divBdr>
        </w:div>
        <w:div w:id="1402825928">
          <w:marLeft w:val="0"/>
          <w:marRight w:val="0"/>
          <w:marTop w:val="0"/>
          <w:marBottom w:val="0"/>
          <w:divBdr>
            <w:top w:val="none" w:sz="0" w:space="0" w:color="auto"/>
            <w:left w:val="none" w:sz="0" w:space="0" w:color="auto"/>
            <w:bottom w:val="none" w:sz="0" w:space="0" w:color="auto"/>
            <w:right w:val="none" w:sz="0" w:space="0" w:color="auto"/>
          </w:divBdr>
        </w:div>
        <w:div w:id="1804469098">
          <w:marLeft w:val="0"/>
          <w:marRight w:val="0"/>
          <w:marTop w:val="0"/>
          <w:marBottom w:val="0"/>
          <w:divBdr>
            <w:top w:val="none" w:sz="0" w:space="0" w:color="auto"/>
            <w:left w:val="none" w:sz="0" w:space="0" w:color="auto"/>
            <w:bottom w:val="none" w:sz="0" w:space="0" w:color="auto"/>
            <w:right w:val="none" w:sz="0" w:space="0" w:color="auto"/>
          </w:divBdr>
        </w:div>
        <w:div w:id="1950812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gto.mx/images/presupuesto-federal-extraordinario/2018/2-informe-trimestre-programa-jul-sept-U040-2018-2019.pdf" TargetMode="External"/><Relationship Id="rId3" Type="http://schemas.openxmlformats.org/officeDocument/2006/relationships/settings" Target="settings.xml"/><Relationship Id="rId7" Type="http://schemas.openxmlformats.org/officeDocument/2006/relationships/hyperlink" Target="http://148.214.155.19/index.php/2018/pf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gto.mx/administracion-ug/presupuesto-federal-extraordinari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1413</Words>
  <Characters>7773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Gladys Judith García Ruíz</dc:creator>
  <cp:keywords/>
  <dc:description/>
  <cp:lastModifiedBy>jenyag</cp:lastModifiedBy>
  <cp:revision>24</cp:revision>
  <dcterms:created xsi:type="dcterms:W3CDTF">2018-10-29T18:16:00Z</dcterms:created>
  <dcterms:modified xsi:type="dcterms:W3CDTF">2018-10-29T19:03:00Z</dcterms:modified>
</cp:coreProperties>
</file>