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1107" w14:textId="77777777" w:rsidR="00491AFC" w:rsidRPr="00750248" w:rsidRDefault="00491AFC" w:rsidP="00491AFC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b/>
          <w:color w:val="002060"/>
          <w:sz w:val="20"/>
          <w:szCs w:val="20"/>
          <w:shd w:val="clear" w:color="auto" w:fill="FFFFFF"/>
        </w:rPr>
        <w:t>Universidad de Guanajuato</w:t>
      </w:r>
    </w:p>
    <w:p w14:paraId="46B576B4" w14:textId="7A8262B2" w:rsidR="00491AFC" w:rsidRPr="00750248" w:rsidRDefault="0044532B" w:rsidP="00491AF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002060"/>
          <w:sz w:val="20"/>
          <w:szCs w:val="20"/>
          <w:shd w:val="clear" w:color="auto" w:fill="FFFFFF"/>
        </w:rPr>
        <w:t>3er</w:t>
      </w:r>
      <w:r w:rsidR="00356D1A" w:rsidRPr="00750248">
        <w:rPr>
          <w:rFonts w:ascii="Arial" w:hAnsi="Arial" w:cs="Arial"/>
          <w:color w:val="002060"/>
          <w:sz w:val="20"/>
          <w:szCs w:val="20"/>
          <w:shd w:val="clear" w:color="auto" w:fill="FFFFFF"/>
        </w:rPr>
        <w:t>. Informe de Avance trimestral 2019</w:t>
      </w:r>
    </w:p>
    <w:p w14:paraId="3A97A012" w14:textId="77777777" w:rsidR="005E3B5E" w:rsidRPr="00424E44" w:rsidRDefault="005E3B5E" w:rsidP="00491A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5E4B3B8" w14:textId="0B5ACBAA" w:rsidR="00715CE4" w:rsidRPr="00750248" w:rsidRDefault="005E3B5E" w:rsidP="00712147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24E44">
        <w:rPr>
          <w:rFonts w:ascii="Arial" w:hAnsi="Arial" w:cs="Arial"/>
          <w:sz w:val="20"/>
          <w:szCs w:val="20"/>
          <w:shd w:val="clear" w:color="auto" w:fill="FFFFFF"/>
        </w:rPr>
        <w:t>De acuerdo con el Art.54 de la Ley General de Contabilidad Gubernamental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, la información presupuestaria y programática que forme parte de la cuenta pública deberá relacionarse, en lo conducente, con los objetivos y prioridades de la planeación del desarrollo</w:t>
      </w:r>
      <w:r w:rsidR="00FB082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 en atención a la solicitud de la Auditoría Superior del Estado de Guanajuato sobre la información del formato 334 con corte al </w:t>
      </w:r>
      <w:r w:rsidR="003E730C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3</w:t>
      </w:r>
      <w:bookmarkStart w:id="0" w:name="_GoBack"/>
      <w:bookmarkEnd w:id="0"/>
      <w:r w:rsidR="003E730C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er</w:t>
      </w:r>
      <w:r w:rsidR="00FB082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Trimestre 2019, </w:t>
      </w:r>
      <w:r w:rsidR="00FE41A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se informa el avance de</w:t>
      </w:r>
      <w:r w:rsidR="002E3158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E41A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l</w:t>
      </w:r>
      <w:r w:rsidR="002E3158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os</w:t>
      </w:r>
      <w:r w:rsidR="00FE41A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siguiente</w:t>
      </w:r>
      <w:r w:rsidR="002E3158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FE41A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programa</w:t>
      </w:r>
      <w:r w:rsidR="002E3158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FE41A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</w:p>
    <w:tbl>
      <w:tblPr>
        <w:tblStyle w:val="Tablaconcuadrcula4-nfasis1"/>
        <w:tblW w:w="6820" w:type="dxa"/>
        <w:jc w:val="center"/>
        <w:tblLook w:val="0620" w:firstRow="1" w:lastRow="0" w:firstColumn="0" w:lastColumn="0" w:noHBand="1" w:noVBand="1"/>
      </w:tblPr>
      <w:tblGrid>
        <w:gridCol w:w="1680"/>
        <w:gridCol w:w="5140"/>
      </w:tblGrid>
      <w:tr w:rsidR="002E3158" w:rsidRPr="00750248" w14:paraId="008997D8" w14:textId="77777777" w:rsidTr="00712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680" w:type="dxa"/>
            <w:tcBorders>
              <w:bottom w:val="single" w:sz="4" w:space="0" w:color="000000"/>
            </w:tcBorders>
            <w:shd w:val="clear" w:color="auto" w:fill="002060"/>
            <w:noWrap/>
            <w:vAlign w:val="center"/>
          </w:tcPr>
          <w:p w14:paraId="1A8B4FCA" w14:textId="77777777" w:rsidR="002E3158" w:rsidRPr="00750248" w:rsidRDefault="002E3158" w:rsidP="007121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Código</w:t>
            </w:r>
          </w:p>
        </w:tc>
        <w:tc>
          <w:tcPr>
            <w:tcW w:w="5140" w:type="dxa"/>
            <w:tcBorders>
              <w:bottom w:val="single" w:sz="4" w:space="0" w:color="000000"/>
            </w:tcBorders>
            <w:shd w:val="clear" w:color="auto" w:fill="002060"/>
            <w:noWrap/>
            <w:vAlign w:val="center"/>
          </w:tcPr>
          <w:p w14:paraId="6D80C81B" w14:textId="77777777" w:rsidR="002E3158" w:rsidRPr="00750248" w:rsidRDefault="002E3158" w:rsidP="007121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</w:t>
            </w:r>
          </w:p>
        </w:tc>
      </w:tr>
      <w:tr w:rsidR="002E3158" w:rsidRPr="00750248" w14:paraId="1A932C8F" w14:textId="77777777" w:rsidTr="00712147">
        <w:trPr>
          <w:trHeight w:val="30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85B2E" w14:textId="77777777" w:rsidR="002E3158" w:rsidRPr="00750248" w:rsidRDefault="002E3158" w:rsidP="0071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S267 (PFCE)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EA816" w14:textId="77777777" w:rsidR="002E3158" w:rsidRPr="00750248" w:rsidRDefault="002E3158" w:rsidP="0071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Fortalecimiento de la Calidad Educativa</w:t>
            </w:r>
          </w:p>
        </w:tc>
      </w:tr>
      <w:tr w:rsidR="002E3158" w:rsidRPr="00750248" w14:paraId="61593550" w14:textId="77777777" w:rsidTr="00712147">
        <w:trPr>
          <w:trHeight w:val="30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13840" w14:textId="77777777" w:rsidR="002E3158" w:rsidRPr="00750248" w:rsidRDefault="002E3158" w:rsidP="0071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U040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7C1F8" w14:textId="77777777" w:rsidR="002E3158" w:rsidRPr="00750248" w:rsidRDefault="002E3158" w:rsidP="007121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Carrera Docente en UPES</w:t>
            </w:r>
          </w:p>
        </w:tc>
      </w:tr>
    </w:tbl>
    <w:p w14:paraId="425A964D" w14:textId="77777777" w:rsidR="00712147" w:rsidRPr="00750248" w:rsidRDefault="00712147" w:rsidP="00712147">
      <w:pPr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92F5EA1" w14:textId="4A192984" w:rsidR="002D4387" w:rsidRPr="00750248" w:rsidRDefault="0077774F" w:rsidP="00712147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En la </w:t>
      </w:r>
      <w:r w:rsidR="00BE27A5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Universidad de Guanajuato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1E3BCF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el programa 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PFCE (Programa de Fortalecimiento de la Calidad Educativa), </w:t>
      </w:r>
      <w:r w:rsidR="00FB1D0A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genera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mejoras </w:t>
      </w:r>
      <w:r w:rsidR="009422A6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en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las instalaciones y 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en 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el equipo</w:t>
      </w:r>
      <w:r w:rsidR="00BE27A5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institucional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B84E4D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con la finalidad de 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eleva</w:t>
      </w:r>
      <w:r w:rsidR="00BE27A5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r</w:t>
      </w:r>
      <w:r w:rsidR="002D438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 calidad de los programas educativos</w:t>
      </w:r>
      <w:r w:rsidR="0005784D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ofertado</w:t>
      </w:r>
      <w:r w:rsidR="00880C79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BA26FE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1E3BCF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por</w:t>
      </w:r>
      <w:r w:rsidR="00BA26FE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la institución</w:t>
      </w:r>
      <w:r w:rsidR="00FF7EC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6DE9C7C8" w14:textId="5E83AC62" w:rsidR="00445308" w:rsidRPr="00750248" w:rsidRDefault="00153335" w:rsidP="00712147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Aunado a esto,</w:t>
      </w:r>
      <w:r w:rsidR="003C226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el Programa de Carrera Docente en UPES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distingue</w:t>
      </w:r>
      <w:r w:rsidR="003C226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 los Profesores de Tiempo Completo </w:t>
      </w:r>
      <w:r w:rsidR="004E41C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que </w:t>
      </w:r>
      <w:r w:rsidR="003C226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incid</w:t>
      </w:r>
      <w:r w:rsidR="004E41C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en</w:t>
      </w:r>
      <w:r w:rsidR="003C226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en la formación </w:t>
      </w:r>
      <w:r w:rsidR="00D73A88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de los estudiantes </w:t>
      </w:r>
      <w:r w:rsidR="003C226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de nivel licenciatura</w:t>
      </w:r>
      <w:r w:rsidR="00D73A88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3C226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formando alumnos con un perfil altamente competitivo a nivel nacional e internacional</w:t>
      </w:r>
      <w:r w:rsidR="004E41C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302E71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es decir, </w:t>
      </w:r>
      <w:r w:rsidR="004E41C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genera</w:t>
      </w:r>
      <w:r w:rsidR="00302E71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n</w:t>
      </w:r>
      <w:r w:rsidR="004E41C4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impactos significativos en la mejora de los objetivos y metas de la Universidad como Universidad Públicas Estatal (UPE).</w:t>
      </w:r>
    </w:p>
    <w:p w14:paraId="694E2439" w14:textId="77777777" w:rsidR="008844F9" w:rsidRPr="00750248" w:rsidRDefault="008844F9" w:rsidP="0071214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b/>
          <w:sz w:val="20"/>
          <w:szCs w:val="20"/>
          <w:shd w:val="clear" w:color="auto" w:fill="FFFFFF"/>
        </w:rPr>
        <w:t>Programa de Fortalecimiento de la Calidad Educativa</w:t>
      </w:r>
    </w:p>
    <w:p w14:paraId="75D08176" w14:textId="553B2816" w:rsidR="00BC2DC1" w:rsidRPr="00750248" w:rsidRDefault="0013310B" w:rsidP="00712147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La </w:t>
      </w:r>
      <w:r w:rsidR="00BC2DC1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Secretaría de Educación Pública, a través del programa presupuestario S267 Fortalecimiento de la Calidad Educativa, se ha constituido como un medio estratégico para contribuir al logro de las metas </w:t>
      </w:r>
      <w:r w:rsidR="00E2350B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nacionales</w:t>
      </w:r>
      <w:r w:rsidR="00984CF2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, mediante el otorgamiento de recursos financieros extraordinarios, para que a partir de ejercicios de planeación estratégica participativa implementen las Instituciones de Educación Superior</w:t>
      </w:r>
      <w:r w:rsidR="00B204CD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984CF2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proyectos académicos para la mejora de</w:t>
      </w:r>
      <w:r w:rsidR="00B204CD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servicios </w:t>
      </w:r>
      <w:r w:rsidR="00984CF2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que impacten en la calidad de sus programas educativos, a fin de que contribuyan al desarrollo de México.</w:t>
      </w:r>
    </w:p>
    <w:p w14:paraId="5B037524" w14:textId="77777777" w:rsidR="000C18FC" w:rsidRPr="00750248" w:rsidRDefault="003260EC" w:rsidP="00B67766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En la Universidad de Guanajuato</w:t>
      </w:r>
      <w:r w:rsidR="00175DB1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el programa </w:t>
      </w:r>
      <w:r w:rsidR="00BD4BDF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apoyó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al cumplimiento de las siguientes </w:t>
      </w:r>
      <w:r w:rsidR="00F57DEE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metas académicas e indicadores de calidad</w:t>
      </w:r>
      <w:r w:rsidR="000C18FC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</w:p>
    <w:p w14:paraId="2EB1C7DC" w14:textId="77777777" w:rsidR="000C18FC" w:rsidRPr="00750248" w:rsidRDefault="000C18FC" w:rsidP="000C18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ProGES</w:t>
      </w:r>
      <w:proofErr w:type="spell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 “Consolidación de la Competitividad Académica de la Universidad de Guanajuato”</w:t>
      </w:r>
    </w:p>
    <w:p w14:paraId="7EF1E239" w14:textId="3C286C38" w:rsidR="00FD4382" w:rsidRPr="00750248" w:rsidRDefault="000C18FC" w:rsidP="00CA6F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ProGES</w:t>
      </w:r>
      <w:proofErr w:type="spell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 “Gestión efectiva”</w:t>
      </w:r>
    </w:p>
    <w:p w14:paraId="3D5352F5" w14:textId="77777777" w:rsidR="0001472C" w:rsidRPr="00750248" w:rsidRDefault="0001472C" w:rsidP="000147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ProDES</w:t>
      </w:r>
      <w:proofErr w:type="spell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1396 “Fortalecer la competitividad académica de la DES a través de la atención a las recomendaciones de los organismos evaluadores y acreditadores para mejorar el desempeño de los estudiantes.</w:t>
      </w:r>
    </w:p>
    <w:p w14:paraId="75CC6533" w14:textId="448FC1D4" w:rsidR="0001472C" w:rsidRPr="00750248" w:rsidRDefault="0001472C" w:rsidP="000147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ProDES</w:t>
      </w:r>
      <w:proofErr w:type="spell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1397 “Impulsar la competitividad académica de la DES campus Guanajuato atendiendo la pertinencia y calidad oferta educativa”</w:t>
      </w:r>
    </w:p>
    <w:p w14:paraId="01EFF439" w14:textId="40B1D332" w:rsidR="00FD4382" w:rsidRPr="00750248" w:rsidRDefault="0001472C" w:rsidP="00CA6F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ProDES</w:t>
      </w:r>
      <w:proofErr w:type="spell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1399 “</w:t>
      </w:r>
      <w:r w:rsidR="00FD4382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Proyecto de Fortalecimiento a la Calidad Educativa y competitividad académica del Campus Irapuato-Salamanca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”</w:t>
      </w:r>
    </w:p>
    <w:p w14:paraId="2B33D95A" w14:textId="0627625E" w:rsidR="0001472C" w:rsidRPr="00750248" w:rsidRDefault="0001472C" w:rsidP="000147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spell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ProDES</w:t>
      </w:r>
      <w:proofErr w:type="spell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14000 “</w:t>
      </w:r>
      <w:r w:rsidR="00FD4382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Incrementar la competitividad académica de los Programas Educativos del Campus León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”</w:t>
      </w:r>
      <w:r w:rsidR="00FD4382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Y="325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615"/>
        <w:gridCol w:w="1601"/>
        <w:gridCol w:w="1702"/>
      </w:tblGrid>
      <w:tr w:rsidR="001A3C0F" w:rsidRPr="00750248" w14:paraId="3A32722B" w14:textId="77777777" w:rsidTr="000E52CE">
        <w:trPr>
          <w:trHeight w:val="530"/>
        </w:trPr>
        <w:tc>
          <w:tcPr>
            <w:tcW w:w="4476" w:type="dxa"/>
            <w:shd w:val="clear" w:color="000000" w:fill="002060"/>
            <w:noWrap/>
            <w:vAlign w:val="center"/>
            <w:hideMark/>
          </w:tcPr>
          <w:p w14:paraId="1A1896D9" w14:textId="77777777" w:rsidR="001A3C0F" w:rsidRPr="00750248" w:rsidRDefault="001A3C0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615" w:type="dxa"/>
            <w:shd w:val="clear" w:color="000000" w:fill="002060"/>
            <w:noWrap/>
            <w:vAlign w:val="center"/>
            <w:hideMark/>
          </w:tcPr>
          <w:p w14:paraId="3C5FC1C6" w14:textId="77777777" w:rsidR="001A3C0F" w:rsidRPr="00750248" w:rsidRDefault="001A3C0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Asignado</w:t>
            </w:r>
          </w:p>
        </w:tc>
        <w:tc>
          <w:tcPr>
            <w:tcW w:w="1601" w:type="dxa"/>
            <w:shd w:val="clear" w:color="000000" w:fill="002060"/>
            <w:noWrap/>
            <w:vAlign w:val="center"/>
            <w:hideMark/>
          </w:tcPr>
          <w:p w14:paraId="40999296" w14:textId="77777777" w:rsidR="001A3C0F" w:rsidRPr="00750248" w:rsidRDefault="001A3C0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  <w:tc>
          <w:tcPr>
            <w:tcW w:w="1702" w:type="dxa"/>
            <w:shd w:val="clear" w:color="000000" w:fill="002060"/>
            <w:vAlign w:val="center"/>
            <w:hideMark/>
          </w:tcPr>
          <w:p w14:paraId="5E994D2C" w14:textId="5EDBBD48" w:rsidR="001A3C0F" w:rsidRPr="00750248" w:rsidRDefault="00EC3F7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Ejercido</w:t>
            </w:r>
          </w:p>
        </w:tc>
      </w:tr>
      <w:tr w:rsidR="001A3C0F" w:rsidRPr="00750248" w14:paraId="2A0B6B2D" w14:textId="77777777" w:rsidTr="000E52CE">
        <w:trPr>
          <w:trHeight w:val="31"/>
        </w:trPr>
        <w:tc>
          <w:tcPr>
            <w:tcW w:w="4476" w:type="dxa"/>
            <w:shd w:val="clear" w:color="auto" w:fill="auto"/>
            <w:noWrap/>
            <w:vAlign w:val="center"/>
            <w:hideMark/>
          </w:tcPr>
          <w:p w14:paraId="3C52A5A7" w14:textId="77777777" w:rsidR="001A3C0F" w:rsidRPr="00750248" w:rsidRDefault="001A3C0F" w:rsidP="001A3C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de Fortalecimiento de la Calidad Educativa (PFCE)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14:paraId="49A9BCD4" w14:textId="7EB07659" w:rsidR="001A3C0F" w:rsidRPr="00750248" w:rsidRDefault="001A3C0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B945A8"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25,088,413.2</w:t>
            </w:r>
            <w:r w:rsidR="000E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14:paraId="0FBDDD98" w14:textId="4AE74CEE" w:rsidR="001A3C0F" w:rsidRPr="00750248" w:rsidRDefault="001A3C0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B945A8"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16,534,607</w:t>
            </w:r>
            <w:r w:rsidR="000E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1EADC20" w14:textId="7FC8F49F" w:rsidR="001A3C0F" w:rsidRPr="00750248" w:rsidRDefault="001A3C0F" w:rsidP="001A3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EC3F7F"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6,594,860.77</w:t>
            </w:r>
          </w:p>
        </w:tc>
      </w:tr>
    </w:tbl>
    <w:p w14:paraId="131B75FE" w14:textId="4B5B1600" w:rsidR="0078238A" w:rsidRPr="00750248" w:rsidRDefault="00D42678" w:rsidP="001A3C0F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El a</w:t>
      </w:r>
      <w:r w:rsidR="001A3C0F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vance del programa </w:t>
      </w: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es el siguiente</w:t>
      </w:r>
      <w:r w:rsidR="001A3C0F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</w:p>
    <w:p w14:paraId="2D6C2D9C" w14:textId="77777777" w:rsidR="00D42678" w:rsidRPr="00750248" w:rsidRDefault="00D42678" w:rsidP="00D42678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La información y documentos correspondientes al avance de este programa al tercer trimestre del 2019 se encuentran disponibles en la siguiente liga:</w:t>
      </w:r>
    </w:p>
    <w:p w14:paraId="275DBC41" w14:textId="20684EF8" w:rsidR="00D42678" w:rsidRPr="00750248" w:rsidRDefault="00894FA9" w:rsidP="00D42678">
      <w:pPr>
        <w:jc w:val="both"/>
        <w:rPr>
          <w:rFonts w:ascii="Arial" w:hAnsi="Arial" w:cs="Arial"/>
          <w:sz w:val="20"/>
          <w:szCs w:val="20"/>
        </w:rPr>
      </w:pPr>
      <w:hyperlink r:id="rId7" w:history="1">
        <w:r w:rsidR="00D42678" w:rsidRPr="00750248">
          <w:rPr>
            <w:rStyle w:val="Hipervnculo"/>
            <w:rFonts w:ascii="Arial" w:hAnsi="Arial" w:cs="Arial"/>
            <w:sz w:val="20"/>
            <w:szCs w:val="20"/>
          </w:rPr>
          <w:t>http://148.214.155.19/index.php/2019/pfce</w:t>
        </w:r>
      </w:hyperlink>
    </w:p>
    <w:p w14:paraId="7C6124AF" w14:textId="6AF8D629" w:rsidR="00B00C66" w:rsidRPr="00750248" w:rsidRDefault="00B00C66" w:rsidP="00D42678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b/>
          <w:sz w:val="20"/>
          <w:szCs w:val="20"/>
          <w:shd w:val="clear" w:color="auto" w:fill="FFFFFF"/>
        </w:rPr>
        <w:t>Programa de Carrera Docente en UPES</w:t>
      </w:r>
    </w:p>
    <w:p w14:paraId="35C94AA1" w14:textId="1792841E" w:rsidR="00B00C66" w:rsidRPr="00750248" w:rsidRDefault="00B00C66" w:rsidP="00B00C66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Para estimular la educación superior y fortalecer los valores inherentes a la enseñanza, la Secretaría de Hacienda y Crédito Público, a través de la Secretaría de Educación Pública ha establecido el Programa de Carrera Docente en Universidades Públicas Estatales (UPES), el cual tiene como objetivo fundamental valorar y estimular el desarrollo del personal docente en las categorías de tiempo completo, medio tiempo y asignatura que realicen con calidad, dedicación y permanencia las actividades de docencia, investigación, tutorías y participación en cuerpos colegiados.</w:t>
      </w:r>
    </w:p>
    <w:tbl>
      <w:tblPr>
        <w:tblpPr w:leftFromText="141" w:rightFromText="141" w:vertAnchor="text" w:horzAnchor="margin" w:tblpY="364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1420"/>
        <w:gridCol w:w="1723"/>
        <w:gridCol w:w="1722"/>
      </w:tblGrid>
      <w:tr w:rsidR="000C3835" w:rsidRPr="00750248" w14:paraId="3F9F9301" w14:textId="77777777" w:rsidTr="00195F7E">
        <w:trPr>
          <w:trHeight w:val="530"/>
        </w:trPr>
        <w:tc>
          <w:tcPr>
            <w:tcW w:w="4531" w:type="dxa"/>
            <w:shd w:val="clear" w:color="000000" w:fill="002060"/>
            <w:noWrap/>
            <w:vAlign w:val="center"/>
            <w:hideMark/>
          </w:tcPr>
          <w:p w14:paraId="7F2711C1" w14:textId="77777777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418" w:type="dxa"/>
            <w:shd w:val="clear" w:color="000000" w:fill="002060"/>
            <w:noWrap/>
            <w:vAlign w:val="center"/>
            <w:hideMark/>
          </w:tcPr>
          <w:p w14:paraId="18E127B4" w14:textId="77777777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Asignado</w:t>
            </w:r>
          </w:p>
        </w:tc>
        <w:tc>
          <w:tcPr>
            <w:tcW w:w="1723" w:type="dxa"/>
            <w:shd w:val="clear" w:color="000000" w:fill="002060"/>
            <w:noWrap/>
            <w:vAlign w:val="center"/>
            <w:hideMark/>
          </w:tcPr>
          <w:p w14:paraId="10BCF158" w14:textId="77777777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  <w:tc>
          <w:tcPr>
            <w:tcW w:w="1722" w:type="dxa"/>
            <w:shd w:val="clear" w:color="000000" w:fill="002060"/>
            <w:vAlign w:val="center"/>
            <w:hideMark/>
          </w:tcPr>
          <w:p w14:paraId="3B83855A" w14:textId="77777777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Ejercido</w:t>
            </w:r>
          </w:p>
        </w:tc>
      </w:tr>
      <w:tr w:rsidR="000C3835" w:rsidRPr="00750248" w14:paraId="2DDD0E79" w14:textId="77777777" w:rsidTr="00195F7E">
        <w:trPr>
          <w:trHeight w:val="31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67D767E0" w14:textId="77777777" w:rsidR="000C3835" w:rsidRPr="00750248" w:rsidRDefault="000C3835" w:rsidP="000C38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Carrera Docente en UPES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B8E666" w14:textId="462B1AD0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$6,000,000</w:t>
            </w:r>
            <w:r w:rsidR="000E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723" w:type="dxa"/>
            <w:shd w:val="clear" w:color="auto" w:fill="auto"/>
            <w:noWrap/>
            <w:vAlign w:val="center"/>
            <w:hideMark/>
          </w:tcPr>
          <w:p w14:paraId="496BB1B8" w14:textId="39C17020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$21,669,182</w:t>
            </w:r>
            <w:r w:rsidR="000E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14:paraId="438DB171" w14:textId="57E1695D" w:rsidR="000C3835" w:rsidRPr="00750248" w:rsidRDefault="000C3835" w:rsidP="000C3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Pr="00750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5,876,728</w:t>
            </w:r>
            <w:r w:rsidR="000E52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</w:tbl>
    <w:p w14:paraId="6AE32998" w14:textId="14810A4E" w:rsidR="00C116E7" w:rsidRPr="00750248" w:rsidRDefault="000C3835" w:rsidP="00B00C66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116E7"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El avance del programa es el siguiente:</w:t>
      </w:r>
    </w:p>
    <w:p w14:paraId="7FEDD0F7" w14:textId="77777777" w:rsidR="0023565C" w:rsidRPr="00750248" w:rsidRDefault="0023565C" w:rsidP="00B00C66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A666A9D" w14:textId="77777777" w:rsidR="00195F7E" w:rsidRPr="00750248" w:rsidRDefault="00195F7E" w:rsidP="00195F7E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La información y documentos correspondientes al avance del tercer trimestre del </w:t>
      </w:r>
      <w:proofErr w:type="gramStart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>2019,</w:t>
      </w:r>
      <w:proofErr w:type="gramEnd"/>
      <w:r w:rsidRPr="0075024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se encuentran disponibles en la siguiente liga:</w:t>
      </w:r>
    </w:p>
    <w:p w14:paraId="5614E6B2" w14:textId="77777777" w:rsidR="00195F7E" w:rsidRPr="00750248" w:rsidRDefault="00195F7E" w:rsidP="00195F7E">
      <w:pPr>
        <w:jc w:val="both"/>
        <w:rPr>
          <w:rStyle w:val="Hipervnculo"/>
          <w:rFonts w:ascii="Arial" w:hAnsi="Arial" w:cs="Arial"/>
          <w:sz w:val="20"/>
          <w:szCs w:val="20"/>
        </w:rPr>
      </w:pPr>
      <w:hyperlink r:id="rId8" w:history="1">
        <w:r w:rsidRPr="00750248">
          <w:rPr>
            <w:rStyle w:val="Hipervnculo"/>
            <w:rFonts w:ascii="Arial" w:hAnsi="Arial" w:cs="Arial"/>
            <w:sz w:val="20"/>
            <w:szCs w:val="20"/>
          </w:rPr>
          <w:t>http://www.ugto.mx/administracion-ug/presupue</w:t>
        </w:r>
        <w:r w:rsidRPr="00750248">
          <w:rPr>
            <w:rStyle w:val="Hipervnculo"/>
            <w:rFonts w:ascii="Arial" w:hAnsi="Arial" w:cs="Arial"/>
            <w:sz w:val="20"/>
            <w:szCs w:val="20"/>
          </w:rPr>
          <w:t>s</w:t>
        </w:r>
        <w:r w:rsidRPr="00750248">
          <w:rPr>
            <w:rStyle w:val="Hipervnculo"/>
            <w:rFonts w:ascii="Arial" w:hAnsi="Arial" w:cs="Arial"/>
            <w:sz w:val="20"/>
            <w:szCs w:val="20"/>
          </w:rPr>
          <w:t>to-federal-extraordinario</w:t>
        </w:r>
      </w:hyperlink>
      <w:r w:rsidRPr="00750248">
        <w:rPr>
          <w:rStyle w:val="Hipervnculo"/>
          <w:rFonts w:ascii="Arial" w:hAnsi="Arial" w:cs="Arial"/>
          <w:sz w:val="20"/>
          <w:szCs w:val="20"/>
        </w:rPr>
        <w:t xml:space="preserve"> </w:t>
      </w:r>
    </w:p>
    <w:p w14:paraId="3940D9DF" w14:textId="77777777" w:rsidR="00B00C66" w:rsidRPr="00750248" w:rsidRDefault="00B00C66" w:rsidP="00D42678">
      <w:pPr>
        <w:ind w:left="708" w:hanging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61F794BF" w14:textId="72123C06" w:rsidR="00622884" w:rsidRPr="00750248" w:rsidRDefault="00622884" w:rsidP="001A3C0F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095ADD0" w14:textId="4939D350" w:rsidR="00622884" w:rsidRPr="00750248" w:rsidRDefault="00622884" w:rsidP="001A3C0F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A6C7A3B" w14:textId="77777777" w:rsidR="00622884" w:rsidRPr="00750248" w:rsidRDefault="00622884" w:rsidP="001A3C0F">
      <w:pPr>
        <w:jc w:val="both"/>
        <w:rPr>
          <w:rFonts w:ascii="Arial" w:hAnsi="Arial" w:cs="Arial"/>
          <w:sz w:val="20"/>
          <w:szCs w:val="20"/>
        </w:rPr>
      </w:pPr>
    </w:p>
    <w:sectPr w:rsidR="00622884" w:rsidRPr="00750248" w:rsidSect="0078238A">
      <w:footerReference w:type="default" r:id="rId9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49DB5" w14:textId="77777777" w:rsidR="00894FA9" w:rsidRDefault="00894FA9" w:rsidP="00151CF5">
      <w:pPr>
        <w:spacing w:after="0" w:line="240" w:lineRule="auto"/>
      </w:pPr>
      <w:r>
        <w:separator/>
      </w:r>
    </w:p>
  </w:endnote>
  <w:endnote w:type="continuationSeparator" w:id="0">
    <w:p w14:paraId="2A958096" w14:textId="77777777" w:rsidR="00894FA9" w:rsidRDefault="00894FA9" w:rsidP="0015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483120"/>
      <w:docPartObj>
        <w:docPartGallery w:val="Page Numbers (Bottom of Page)"/>
        <w:docPartUnique/>
      </w:docPartObj>
    </w:sdtPr>
    <w:sdtEndPr/>
    <w:sdtContent>
      <w:p w14:paraId="7E06D370" w14:textId="77777777" w:rsidR="00151CF5" w:rsidRDefault="00151C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EA6360" w14:textId="77777777" w:rsidR="00151CF5" w:rsidRDefault="00151C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7968" w14:textId="77777777" w:rsidR="00894FA9" w:rsidRDefault="00894FA9" w:rsidP="00151CF5">
      <w:pPr>
        <w:spacing w:after="0" w:line="240" w:lineRule="auto"/>
      </w:pPr>
      <w:r>
        <w:separator/>
      </w:r>
    </w:p>
  </w:footnote>
  <w:footnote w:type="continuationSeparator" w:id="0">
    <w:p w14:paraId="1F7AEBEE" w14:textId="77777777" w:rsidR="00894FA9" w:rsidRDefault="00894FA9" w:rsidP="00151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717F"/>
    <w:multiLevelType w:val="hybridMultilevel"/>
    <w:tmpl w:val="1B642CC4"/>
    <w:lvl w:ilvl="0" w:tplc="A57652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326B3"/>
    <w:multiLevelType w:val="hybridMultilevel"/>
    <w:tmpl w:val="CF1E3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5E"/>
    <w:rsid w:val="0001472C"/>
    <w:rsid w:val="00016FA1"/>
    <w:rsid w:val="000234F8"/>
    <w:rsid w:val="0005784D"/>
    <w:rsid w:val="00073FBA"/>
    <w:rsid w:val="000822B8"/>
    <w:rsid w:val="0009067D"/>
    <w:rsid w:val="0009385E"/>
    <w:rsid w:val="00094813"/>
    <w:rsid w:val="000971BA"/>
    <w:rsid w:val="000A67AE"/>
    <w:rsid w:val="000C18FC"/>
    <w:rsid w:val="000C3835"/>
    <w:rsid w:val="000E52CE"/>
    <w:rsid w:val="00126947"/>
    <w:rsid w:val="00132FF9"/>
    <w:rsid w:val="0013310B"/>
    <w:rsid w:val="00135BA5"/>
    <w:rsid w:val="00151CF5"/>
    <w:rsid w:val="00153335"/>
    <w:rsid w:val="00157193"/>
    <w:rsid w:val="00157EEF"/>
    <w:rsid w:val="00160587"/>
    <w:rsid w:val="001626A8"/>
    <w:rsid w:val="00167E06"/>
    <w:rsid w:val="00170FCA"/>
    <w:rsid w:val="00175DB1"/>
    <w:rsid w:val="001764DC"/>
    <w:rsid w:val="00195F7E"/>
    <w:rsid w:val="001A3C0F"/>
    <w:rsid w:val="001B37D1"/>
    <w:rsid w:val="001C643D"/>
    <w:rsid w:val="001E3BCF"/>
    <w:rsid w:val="001E4E69"/>
    <w:rsid w:val="001E6A8B"/>
    <w:rsid w:val="001F4EF8"/>
    <w:rsid w:val="001F754B"/>
    <w:rsid w:val="00205E1D"/>
    <w:rsid w:val="00215FAF"/>
    <w:rsid w:val="002166F7"/>
    <w:rsid w:val="0023565C"/>
    <w:rsid w:val="002454D2"/>
    <w:rsid w:val="00245C83"/>
    <w:rsid w:val="00246FDE"/>
    <w:rsid w:val="002627AE"/>
    <w:rsid w:val="002730EA"/>
    <w:rsid w:val="00273A9C"/>
    <w:rsid w:val="002820D8"/>
    <w:rsid w:val="002A1B2C"/>
    <w:rsid w:val="002A1F08"/>
    <w:rsid w:val="002A45C9"/>
    <w:rsid w:val="002C2795"/>
    <w:rsid w:val="002D1DD3"/>
    <w:rsid w:val="002D4387"/>
    <w:rsid w:val="002D6D26"/>
    <w:rsid w:val="002E3158"/>
    <w:rsid w:val="002E4FA1"/>
    <w:rsid w:val="002F422B"/>
    <w:rsid w:val="002F622E"/>
    <w:rsid w:val="00302E71"/>
    <w:rsid w:val="003260EC"/>
    <w:rsid w:val="00331E6C"/>
    <w:rsid w:val="0033300A"/>
    <w:rsid w:val="003370CD"/>
    <w:rsid w:val="0034334C"/>
    <w:rsid w:val="00356D1A"/>
    <w:rsid w:val="00365B2A"/>
    <w:rsid w:val="0037362C"/>
    <w:rsid w:val="00381438"/>
    <w:rsid w:val="003A073E"/>
    <w:rsid w:val="003A5C9F"/>
    <w:rsid w:val="003B49AC"/>
    <w:rsid w:val="003C1BCC"/>
    <w:rsid w:val="003C2264"/>
    <w:rsid w:val="003C3B85"/>
    <w:rsid w:val="003D6A48"/>
    <w:rsid w:val="003E730C"/>
    <w:rsid w:val="00401EBA"/>
    <w:rsid w:val="0042491D"/>
    <w:rsid w:val="00424E44"/>
    <w:rsid w:val="00445308"/>
    <w:rsid w:val="0044532B"/>
    <w:rsid w:val="00446899"/>
    <w:rsid w:val="0045551A"/>
    <w:rsid w:val="00457E92"/>
    <w:rsid w:val="00462E41"/>
    <w:rsid w:val="00470E57"/>
    <w:rsid w:val="00491AFC"/>
    <w:rsid w:val="004A17FB"/>
    <w:rsid w:val="004C5EBD"/>
    <w:rsid w:val="004E025F"/>
    <w:rsid w:val="004E41C4"/>
    <w:rsid w:val="004E7638"/>
    <w:rsid w:val="0050340A"/>
    <w:rsid w:val="00513D50"/>
    <w:rsid w:val="00525FED"/>
    <w:rsid w:val="00533E94"/>
    <w:rsid w:val="00535CFD"/>
    <w:rsid w:val="0056172C"/>
    <w:rsid w:val="00586C0C"/>
    <w:rsid w:val="00590109"/>
    <w:rsid w:val="00594F15"/>
    <w:rsid w:val="005971C9"/>
    <w:rsid w:val="005A156C"/>
    <w:rsid w:val="005B424C"/>
    <w:rsid w:val="005C1A70"/>
    <w:rsid w:val="005C73CD"/>
    <w:rsid w:val="005E3527"/>
    <w:rsid w:val="005E3B5E"/>
    <w:rsid w:val="005F75A4"/>
    <w:rsid w:val="0060392A"/>
    <w:rsid w:val="006059E1"/>
    <w:rsid w:val="00612391"/>
    <w:rsid w:val="00613223"/>
    <w:rsid w:val="00622884"/>
    <w:rsid w:val="00670667"/>
    <w:rsid w:val="006722D7"/>
    <w:rsid w:val="00692D41"/>
    <w:rsid w:val="006A2E2D"/>
    <w:rsid w:val="006A5E6E"/>
    <w:rsid w:val="006E4018"/>
    <w:rsid w:val="006F55C8"/>
    <w:rsid w:val="006F5D8C"/>
    <w:rsid w:val="00704B66"/>
    <w:rsid w:val="00704C35"/>
    <w:rsid w:val="00712147"/>
    <w:rsid w:val="00715289"/>
    <w:rsid w:val="00715CE4"/>
    <w:rsid w:val="00721CDA"/>
    <w:rsid w:val="00730D43"/>
    <w:rsid w:val="0074062E"/>
    <w:rsid w:val="00750248"/>
    <w:rsid w:val="00763978"/>
    <w:rsid w:val="007649AC"/>
    <w:rsid w:val="00776068"/>
    <w:rsid w:val="0077774F"/>
    <w:rsid w:val="0078238A"/>
    <w:rsid w:val="00786785"/>
    <w:rsid w:val="0079191E"/>
    <w:rsid w:val="00793A39"/>
    <w:rsid w:val="007D135E"/>
    <w:rsid w:val="007D4F93"/>
    <w:rsid w:val="007F5F70"/>
    <w:rsid w:val="0081405B"/>
    <w:rsid w:val="00823D10"/>
    <w:rsid w:val="00837DF2"/>
    <w:rsid w:val="00851FE7"/>
    <w:rsid w:val="008566D6"/>
    <w:rsid w:val="0086660D"/>
    <w:rsid w:val="00876C09"/>
    <w:rsid w:val="00880C79"/>
    <w:rsid w:val="008844F9"/>
    <w:rsid w:val="00894FA9"/>
    <w:rsid w:val="00895A07"/>
    <w:rsid w:val="008A4784"/>
    <w:rsid w:val="008B39CA"/>
    <w:rsid w:val="008E2121"/>
    <w:rsid w:val="008F31E1"/>
    <w:rsid w:val="00915E3C"/>
    <w:rsid w:val="00923AD6"/>
    <w:rsid w:val="00934417"/>
    <w:rsid w:val="009422A6"/>
    <w:rsid w:val="00981D94"/>
    <w:rsid w:val="00984CF2"/>
    <w:rsid w:val="009A6F6D"/>
    <w:rsid w:val="009C2927"/>
    <w:rsid w:val="00A419D9"/>
    <w:rsid w:val="00A52A21"/>
    <w:rsid w:val="00AA6006"/>
    <w:rsid w:val="00AB7136"/>
    <w:rsid w:val="00AC1B5A"/>
    <w:rsid w:val="00AC32E6"/>
    <w:rsid w:val="00AD12D6"/>
    <w:rsid w:val="00AE0B36"/>
    <w:rsid w:val="00B00C66"/>
    <w:rsid w:val="00B01B6F"/>
    <w:rsid w:val="00B04053"/>
    <w:rsid w:val="00B16DD6"/>
    <w:rsid w:val="00B204CD"/>
    <w:rsid w:val="00B272E7"/>
    <w:rsid w:val="00B338EC"/>
    <w:rsid w:val="00B52D27"/>
    <w:rsid w:val="00B570C3"/>
    <w:rsid w:val="00B67766"/>
    <w:rsid w:val="00B67BC2"/>
    <w:rsid w:val="00B8018A"/>
    <w:rsid w:val="00B8357F"/>
    <w:rsid w:val="00B84E4D"/>
    <w:rsid w:val="00B945A8"/>
    <w:rsid w:val="00BA1C5D"/>
    <w:rsid w:val="00BA26FE"/>
    <w:rsid w:val="00BC2DC1"/>
    <w:rsid w:val="00BC7076"/>
    <w:rsid w:val="00BD4BDF"/>
    <w:rsid w:val="00BE27A5"/>
    <w:rsid w:val="00BE4FF4"/>
    <w:rsid w:val="00BF16EE"/>
    <w:rsid w:val="00BF33FA"/>
    <w:rsid w:val="00C0295A"/>
    <w:rsid w:val="00C116E7"/>
    <w:rsid w:val="00C26EC4"/>
    <w:rsid w:val="00C31CEA"/>
    <w:rsid w:val="00C32880"/>
    <w:rsid w:val="00C36532"/>
    <w:rsid w:val="00C43170"/>
    <w:rsid w:val="00C5432D"/>
    <w:rsid w:val="00C63B1B"/>
    <w:rsid w:val="00C6495A"/>
    <w:rsid w:val="00C700A4"/>
    <w:rsid w:val="00C70656"/>
    <w:rsid w:val="00C71541"/>
    <w:rsid w:val="00CB52EA"/>
    <w:rsid w:val="00CC0D55"/>
    <w:rsid w:val="00CE5E18"/>
    <w:rsid w:val="00CF26A3"/>
    <w:rsid w:val="00D06B6A"/>
    <w:rsid w:val="00D167EB"/>
    <w:rsid w:val="00D2541F"/>
    <w:rsid w:val="00D26250"/>
    <w:rsid w:val="00D36680"/>
    <w:rsid w:val="00D42678"/>
    <w:rsid w:val="00D56341"/>
    <w:rsid w:val="00D61925"/>
    <w:rsid w:val="00D64444"/>
    <w:rsid w:val="00D676FB"/>
    <w:rsid w:val="00D73A88"/>
    <w:rsid w:val="00D743F9"/>
    <w:rsid w:val="00DA2E23"/>
    <w:rsid w:val="00DB13EA"/>
    <w:rsid w:val="00DC0C29"/>
    <w:rsid w:val="00DE2F35"/>
    <w:rsid w:val="00DE47A0"/>
    <w:rsid w:val="00DE7795"/>
    <w:rsid w:val="00DF7D0A"/>
    <w:rsid w:val="00E11294"/>
    <w:rsid w:val="00E163C5"/>
    <w:rsid w:val="00E2350B"/>
    <w:rsid w:val="00E33BD5"/>
    <w:rsid w:val="00E430C1"/>
    <w:rsid w:val="00E55AFD"/>
    <w:rsid w:val="00E5697A"/>
    <w:rsid w:val="00EA0EAA"/>
    <w:rsid w:val="00EC3F7F"/>
    <w:rsid w:val="00EE08E4"/>
    <w:rsid w:val="00F412A7"/>
    <w:rsid w:val="00F42474"/>
    <w:rsid w:val="00F57DEE"/>
    <w:rsid w:val="00F7592F"/>
    <w:rsid w:val="00FA7CB5"/>
    <w:rsid w:val="00FB082B"/>
    <w:rsid w:val="00FB1B15"/>
    <w:rsid w:val="00FB1D0A"/>
    <w:rsid w:val="00FC22A4"/>
    <w:rsid w:val="00FC5A61"/>
    <w:rsid w:val="00FD4382"/>
    <w:rsid w:val="00FD5FFC"/>
    <w:rsid w:val="00FE41AB"/>
    <w:rsid w:val="00FE74EC"/>
    <w:rsid w:val="00FF5CD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E537"/>
  <w15:chartTrackingRefBased/>
  <w15:docId w15:val="{84965C4B-9FC6-4C3D-A17B-5407EC9B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3B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0D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D43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C18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6495A"/>
    <w:rPr>
      <w:color w:val="954F72" w:themeColor="followedHyperlink"/>
      <w:u w:val="single"/>
    </w:rPr>
  </w:style>
  <w:style w:type="table" w:styleId="Tablaconcuadrcula4-nfasis1">
    <w:name w:val="Grid Table 4 Accent 1"/>
    <w:basedOn w:val="Tablanormal"/>
    <w:uiPriority w:val="49"/>
    <w:rsid w:val="00715C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51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C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51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to.mx/administracion-ug/presupuesto-federal-extraordin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8.214.155.19/index.php/2019/pf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Judith García Ruíz</dc:creator>
  <cp:keywords/>
  <dc:description/>
  <cp:lastModifiedBy>jenyag</cp:lastModifiedBy>
  <cp:revision>9</cp:revision>
  <dcterms:created xsi:type="dcterms:W3CDTF">2019-10-21T21:04:00Z</dcterms:created>
  <dcterms:modified xsi:type="dcterms:W3CDTF">2019-10-22T02:17:00Z</dcterms:modified>
</cp:coreProperties>
</file>