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02D74172" w:rsidR="007D1E76" w:rsidRPr="00E74967" w:rsidRDefault="00D75307" w:rsidP="00F067C8">
      <w:pPr>
        <w:tabs>
          <w:tab w:val="left" w:leader="underscore" w:pos="9639"/>
        </w:tabs>
        <w:spacing w:after="0" w:line="240" w:lineRule="auto"/>
        <w:jc w:val="center"/>
        <w:rPr>
          <w:rFonts w:cs="Calibri"/>
        </w:rPr>
      </w:pPr>
      <w:r>
        <w:rPr>
          <w:rFonts w:cs="Calibri"/>
        </w:rPr>
        <w:t>31/12/2024</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A0180C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6481B">
              <w:rPr>
                <w:noProof/>
                <w:webHidden/>
              </w:rPr>
              <w:t>2</w:t>
            </w:r>
            <w:r w:rsidR="005F51CC">
              <w:rPr>
                <w:noProof/>
                <w:webHidden/>
              </w:rPr>
              <w:fldChar w:fldCharType="end"/>
            </w:r>
          </w:hyperlink>
        </w:p>
        <w:p w14:paraId="6A6756CA" w14:textId="614C595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6481B">
              <w:rPr>
                <w:noProof/>
                <w:webHidden/>
              </w:rPr>
              <w:t>3</w:t>
            </w:r>
            <w:r>
              <w:rPr>
                <w:noProof/>
                <w:webHidden/>
              </w:rPr>
              <w:fldChar w:fldCharType="end"/>
            </w:r>
          </w:hyperlink>
        </w:p>
        <w:p w14:paraId="19796F35" w14:textId="60D066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6481B">
              <w:rPr>
                <w:noProof/>
                <w:webHidden/>
              </w:rPr>
              <w:t>3</w:t>
            </w:r>
            <w:r>
              <w:rPr>
                <w:noProof/>
                <w:webHidden/>
              </w:rPr>
              <w:fldChar w:fldCharType="end"/>
            </w:r>
          </w:hyperlink>
        </w:p>
        <w:p w14:paraId="62AC0657" w14:textId="2B11DBB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6481B">
              <w:rPr>
                <w:noProof/>
                <w:webHidden/>
              </w:rPr>
              <w:t>7</w:t>
            </w:r>
            <w:r>
              <w:rPr>
                <w:noProof/>
                <w:webHidden/>
              </w:rPr>
              <w:fldChar w:fldCharType="end"/>
            </w:r>
          </w:hyperlink>
        </w:p>
        <w:p w14:paraId="7C7C1962" w14:textId="2D2D27A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6481B">
              <w:rPr>
                <w:noProof/>
                <w:webHidden/>
              </w:rPr>
              <w:t>8</w:t>
            </w:r>
            <w:r>
              <w:rPr>
                <w:noProof/>
                <w:webHidden/>
              </w:rPr>
              <w:fldChar w:fldCharType="end"/>
            </w:r>
          </w:hyperlink>
        </w:p>
        <w:p w14:paraId="3FE6C661" w14:textId="6CFF941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6481B">
              <w:rPr>
                <w:noProof/>
                <w:webHidden/>
              </w:rPr>
              <w:t>13</w:t>
            </w:r>
            <w:r>
              <w:rPr>
                <w:noProof/>
                <w:webHidden/>
              </w:rPr>
              <w:fldChar w:fldCharType="end"/>
            </w:r>
          </w:hyperlink>
        </w:p>
        <w:p w14:paraId="135541CC" w14:textId="138F0B5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6481B">
              <w:rPr>
                <w:noProof/>
                <w:webHidden/>
              </w:rPr>
              <w:t>14</w:t>
            </w:r>
            <w:r>
              <w:rPr>
                <w:noProof/>
                <w:webHidden/>
              </w:rPr>
              <w:fldChar w:fldCharType="end"/>
            </w:r>
          </w:hyperlink>
        </w:p>
        <w:p w14:paraId="48C9D852" w14:textId="6AAAEB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6481B">
              <w:rPr>
                <w:noProof/>
                <w:webHidden/>
              </w:rPr>
              <w:t>16</w:t>
            </w:r>
            <w:r>
              <w:rPr>
                <w:noProof/>
                <w:webHidden/>
              </w:rPr>
              <w:fldChar w:fldCharType="end"/>
            </w:r>
          </w:hyperlink>
        </w:p>
        <w:p w14:paraId="027C97E3" w14:textId="0C7B4F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6481B">
              <w:rPr>
                <w:noProof/>
                <w:webHidden/>
              </w:rPr>
              <w:t>17</w:t>
            </w:r>
            <w:r>
              <w:rPr>
                <w:noProof/>
                <w:webHidden/>
              </w:rPr>
              <w:fldChar w:fldCharType="end"/>
            </w:r>
          </w:hyperlink>
        </w:p>
        <w:p w14:paraId="00DB87A1" w14:textId="1AD2C39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6481B">
              <w:rPr>
                <w:noProof/>
                <w:webHidden/>
              </w:rPr>
              <w:t>18</w:t>
            </w:r>
            <w:r>
              <w:rPr>
                <w:noProof/>
                <w:webHidden/>
              </w:rPr>
              <w:fldChar w:fldCharType="end"/>
            </w:r>
          </w:hyperlink>
        </w:p>
        <w:p w14:paraId="00EEECC2" w14:textId="4A8E74B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6481B">
              <w:rPr>
                <w:noProof/>
                <w:webHidden/>
              </w:rPr>
              <w:t>18</w:t>
            </w:r>
            <w:r>
              <w:rPr>
                <w:noProof/>
                <w:webHidden/>
              </w:rPr>
              <w:fldChar w:fldCharType="end"/>
            </w:r>
          </w:hyperlink>
        </w:p>
        <w:p w14:paraId="68FD7A9A" w14:textId="3143040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6481B">
              <w:rPr>
                <w:noProof/>
                <w:webHidden/>
              </w:rPr>
              <w:t>18</w:t>
            </w:r>
            <w:r>
              <w:rPr>
                <w:noProof/>
                <w:webHidden/>
              </w:rPr>
              <w:fldChar w:fldCharType="end"/>
            </w:r>
          </w:hyperlink>
        </w:p>
        <w:p w14:paraId="5F55527F" w14:textId="7AA002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6481B">
              <w:rPr>
                <w:noProof/>
                <w:webHidden/>
              </w:rPr>
              <w:t>18</w:t>
            </w:r>
            <w:r>
              <w:rPr>
                <w:noProof/>
                <w:webHidden/>
              </w:rPr>
              <w:fldChar w:fldCharType="end"/>
            </w:r>
          </w:hyperlink>
        </w:p>
        <w:p w14:paraId="674ABB69" w14:textId="362A78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6481B">
              <w:rPr>
                <w:noProof/>
                <w:webHidden/>
              </w:rPr>
              <w:t>18</w:t>
            </w:r>
            <w:r>
              <w:rPr>
                <w:noProof/>
                <w:webHidden/>
              </w:rPr>
              <w:fldChar w:fldCharType="end"/>
            </w:r>
          </w:hyperlink>
        </w:p>
        <w:p w14:paraId="39048CDA" w14:textId="4B07F3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6481B">
              <w:rPr>
                <w:noProof/>
                <w:webHidden/>
              </w:rPr>
              <w:t>20</w:t>
            </w:r>
            <w:r>
              <w:rPr>
                <w:noProof/>
                <w:webHidden/>
              </w:rPr>
              <w:fldChar w:fldCharType="end"/>
            </w:r>
          </w:hyperlink>
        </w:p>
        <w:p w14:paraId="7E9C5BA3" w14:textId="65AA46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6481B">
              <w:rPr>
                <w:noProof/>
                <w:webHidden/>
              </w:rPr>
              <w:t>20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AEF85FF" w14:textId="4D38ABCE" w:rsidR="00BF5046" w:rsidRPr="00BF5046" w:rsidRDefault="00BF5046" w:rsidP="001A65D3">
      <w:pPr>
        <w:jc w:val="both"/>
        <w:rPr>
          <w:rFonts w:ascii="Trebuchet MS" w:hAnsi="Trebuchet MS" w:cs="Arial"/>
          <w:sz w:val="20"/>
          <w:szCs w:val="20"/>
        </w:rPr>
      </w:pPr>
      <w:r w:rsidRPr="00BF5046">
        <w:rPr>
          <w:rFonts w:ascii="Trebuchet MS" w:hAnsi="Trebuchet MS" w:cs="Arial"/>
          <w:sz w:val="20"/>
          <w:szCs w:val="20"/>
        </w:rPr>
        <w:t>La Universidad de Guanajuato, con 292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cual en 1945 se transforma en Universidad de Guanajuato.</w:t>
      </w:r>
    </w:p>
    <w:p w14:paraId="2CFAD5A1" w14:textId="1223DDAC"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En su carácter de universidad pública estatal logró el reconocimiento de su autonomía en el año 1994 y, con ello, su capacidad para autogobernarse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5EC56379" w14:textId="04FBCF2D"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0FDCE0FB" w14:textId="4B47B3F5"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reconoce la necesidad de conformar una estructura idónea para sustentar la evolución favorable de la vida académica y la operatividad institucional.</w:t>
      </w:r>
    </w:p>
    <w:p w14:paraId="1C215DA9" w14:textId="66DB0B2F" w:rsidR="001A65D3"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2 de octubre de 2018 y entró en vigor el 1 de enero de 2019, con la finalidad de responder mejor a las necesidades actuales de la institución.</w:t>
      </w:r>
    </w:p>
    <w:p w14:paraId="7C4903FB"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FECB4A5" w14:textId="77777777" w:rsidR="00BF5046" w:rsidRPr="00BF5046" w:rsidRDefault="00BF5046" w:rsidP="00BF5046">
      <w:pPr>
        <w:shd w:val="clear" w:color="auto" w:fill="FFFFFF"/>
        <w:jc w:val="both"/>
        <w:textAlignment w:val="baseline"/>
        <w:rPr>
          <w:rFonts w:ascii="Trebuchet MS" w:hAnsi="Trebuchet MS" w:cs="Arial"/>
          <w:sz w:val="20"/>
          <w:szCs w:val="20"/>
        </w:rPr>
      </w:pPr>
    </w:p>
    <w:p w14:paraId="3ADF6B9A" w14:textId="71C14B74"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organización institucional </w:t>
      </w:r>
      <w:proofErr w:type="spellStart"/>
      <w:r w:rsidRPr="00BF5046">
        <w:rPr>
          <w:rFonts w:ascii="Trebuchet MS" w:hAnsi="Trebuchet MS" w:cs="Arial"/>
          <w:sz w:val="20"/>
          <w:szCs w:val="20"/>
        </w:rPr>
        <w:t>multicampus</w:t>
      </w:r>
      <w:proofErr w:type="spellEnd"/>
      <w:r w:rsidRPr="00BF5046">
        <w:rPr>
          <w:rFonts w:ascii="Trebuchet MS" w:hAnsi="Trebuchet MS" w:cs="Arial"/>
          <w:sz w:val="20"/>
          <w:szCs w:val="20"/>
        </w:rPr>
        <w:t>, que entra en vigor en el año 2008, hoy permite que la Universidad de Guanajuato continúe su transformación ascendente, a través del compromiso resuelto y el trabajo denodado de una comunidad universitaria de casi 57,000 integrantes, que se realiza en 13 escuelas del Colegio del Nivel Medio Superior, así como 13 divisiones y 53 departamentos de los cuatro campus del subsistema de nivel superior.</w:t>
      </w:r>
    </w:p>
    <w:p w14:paraId="282FCD76"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44FD74B5"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Desde la reestructura académica de 2008, se han titulado casi 53,000 personas, sólo en 2024 se titularon más de 5,000 egresados de las 232 oportunidades de formación que ofrecen los 198 programas educativos de nivel medio superior, nivel medio superior terminal, de técnico superior universitario, licenciatura posgrado, en todas las áreas del conocimiento. El 100% de la matrícula de licenciatura está inscrita en programas reconocidos por su calidad.</w:t>
      </w:r>
    </w:p>
    <w:p w14:paraId="3C06F01E"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UG es un referente nacional e internacional en el ámbito de la cultura, con más de 2,000 actividades artísticas y culturales realizadas anualmente en beneficio de más de tres millones de personas; en el ámbito de la investigación, con 118 patentes de alto impacto social, casi 1,400 registros de derecho de autor acumulados desde 2008, así como y más de mil proyectos de investigación registrados anualmente por la planta académica, distribuida en 124 Cuerpos Académicos, 64 de ellos consolidados; en la vinculación interinstitucional, a través de 336 convenios de colaboración establecidos con prestigiosas universidades de México y del mundo, 93 nacionales y 243 con instituciones extranjeras de 29 países de América, Asia y Europa; así como en su compromiso social, con casi 9,000 acciones de servicio social en beneficio de casi 4,000 organizaciones de todos los sectores sociales.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4FFFF8FD" w14:textId="29A625CB"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77777777"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del Consejo Nacional de Humanidades, Ciencias y Tecnología (</w:t>
      </w:r>
      <w:proofErr w:type="spellStart"/>
      <w:r w:rsidRPr="00BF5046">
        <w:rPr>
          <w:rFonts w:ascii="Trebuchet MS" w:hAnsi="Trebuchet MS" w:cs="Arial"/>
          <w:sz w:val="20"/>
          <w:szCs w:val="20"/>
        </w:rPr>
        <w:t>CONAHCyT</w:t>
      </w:r>
      <w:proofErr w:type="spellEnd"/>
      <w:r w:rsidRPr="00BF5046">
        <w:rPr>
          <w:rFonts w:ascii="Trebuchet MS" w:hAnsi="Trebuchet MS" w:cs="Arial"/>
          <w:sz w:val="20"/>
          <w:szCs w:val="20"/>
        </w:rPr>
        <w:t>), Instituto de Innovación,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lastRenderedPageBreak/>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3931E56D"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La información que se incluye en estas notas corresponde a los ejercicios que concluyeron el 31 de diciembre de 2024 y 2023.</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5F839ECF" w14:textId="77777777" w:rsidR="00BF5046" w:rsidRDefault="00BF5046" w:rsidP="00CB41C4">
      <w:pPr>
        <w:tabs>
          <w:tab w:val="left" w:leader="underscore" w:pos="9639"/>
        </w:tabs>
        <w:spacing w:after="0" w:line="240" w:lineRule="auto"/>
        <w:jc w:val="both"/>
        <w:rPr>
          <w:rFonts w:cs="Calibri"/>
        </w:rPr>
      </w:pPr>
    </w:p>
    <w:p w14:paraId="0AB7246D" w14:textId="77777777" w:rsidR="00BF5046" w:rsidRPr="00A9250B" w:rsidRDefault="00BF5046" w:rsidP="00BF5046">
      <w:pPr>
        <w:pStyle w:val="Prrafodelista"/>
        <w:numPr>
          <w:ilvl w:val="0"/>
          <w:numId w:val="16"/>
        </w:numPr>
        <w:tabs>
          <w:tab w:val="left" w:leader="underscore" w:pos="9639"/>
        </w:tabs>
        <w:spacing w:after="0" w:line="240" w:lineRule="auto"/>
        <w:jc w:val="both"/>
      </w:pPr>
      <w:r w:rsidRPr="00A9250B">
        <w:t>Régimen fiscal –</w:t>
      </w:r>
    </w:p>
    <w:p w14:paraId="2EFD2A90" w14:textId="77777777" w:rsidR="00BF5046" w:rsidRPr="00C435D4" w:rsidRDefault="00BF5046" w:rsidP="00BF5046">
      <w:pPr>
        <w:tabs>
          <w:tab w:val="left" w:leader="underscore" w:pos="9639"/>
        </w:tabs>
        <w:jc w:val="both"/>
      </w:pP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3A7BAB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lastRenderedPageBreak/>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09D020E"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Fondo para el Fomento de la Seguridad Integral y Apoyo en caso de Contingencias que Resientan los Alumnos de la Universidad de Guanajuato. </w:t>
      </w:r>
    </w:p>
    <w:p w14:paraId="42648CDB"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FIDEICOMISO FOBECA – UG.</w:t>
      </w: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36922280" w:rsidR="001A65D3" w:rsidRDefault="001A65D3">
      <w:pPr>
        <w:spacing w:after="0" w:line="240" w:lineRule="auto"/>
        <w:rPr>
          <w:rFonts w:cs="Calibri"/>
        </w:rPr>
      </w:pPr>
      <w:r>
        <w:rPr>
          <w:rFonts w:cs="Calibri"/>
        </w:rPr>
        <w:br w:type="page"/>
      </w: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3F232DE1"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 xml:space="preserve">La normativa que aplica la Universidad para reconocer, valuar y revelar la información en sus estados financieros, así como las bases de medición utilizadas para la elaboración de </w:t>
      </w:r>
      <w:proofErr w:type="gramStart"/>
      <w:r w:rsidRPr="00BF5046">
        <w:rPr>
          <w:rFonts w:ascii="Trebuchet MS" w:hAnsi="Trebuchet MS" w:cs="Arial"/>
          <w:sz w:val="20"/>
          <w:szCs w:val="20"/>
        </w:rPr>
        <w:t>los mismos</w:t>
      </w:r>
      <w:proofErr w:type="gramEnd"/>
      <w:r w:rsidRPr="00BF5046">
        <w:rPr>
          <w:rFonts w:ascii="Trebuchet MS" w:hAnsi="Trebuchet MS" w:cs="Arial"/>
          <w:sz w:val="20"/>
          <w:szCs w:val="20"/>
        </w:rPr>
        <w:t xml:space="preserve">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 xml:space="preserve">Hasta la emisión de estos estados financieros la Universidad </w:t>
      </w:r>
      <w:proofErr w:type="spellStart"/>
      <w:r w:rsidRPr="00995882">
        <w:rPr>
          <w:rFonts w:ascii="Trebuchet MS" w:hAnsi="Trebuchet MS" w:cs="Arial"/>
          <w:sz w:val="20"/>
          <w:szCs w:val="20"/>
        </w:rPr>
        <w:t>a</w:t>
      </w:r>
      <w:proofErr w:type="spellEnd"/>
      <w:r w:rsidRPr="00995882">
        <w:rPr>
          <w:rFonts w:ascii="Trebuchet MS" w:hAnsi="Trebuchet MS" w:cs="Arial"/>
          <w:sz w:val="20"/>
          <w:szCs w:val="20"/>
        </w:rPr>
        <w:t xml:space="preserve">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Reglas Específicas de Valoración del Patrimonio 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492FEC61"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Durante los últimos tres ejercicios al 31 de diciembre de 2024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4E8C2FDC"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356A46EE" w14:textId="77777777" w:rsidR="00995882" w:rsidRPr="00995882" w:rsidRDefault="00995882" w:rsidP="00995882">
      <w:pPr>
        <w:spacing w:after="0" w:line="240" w:lineRule="auto"/>
        <w:jc w:val="both"/>
        <w:rPr>
          <w:rFonts w:ascii="Trebuchet MS" w:hAnsi="Trebuchet MS" w:cs="Arial"/>
          <w:sz w:val="20"/>
          <w:szCs w:val="20"/>
        </w:rPr>
      </w:pP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28082F50"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Universidad ha reconocido la actualización de su participación en las empresas asociadas durante el ejercicio 202</w:t>
      </w:r>
      <w:r>
        <w:rPr>
          <w:rFonts w:ascii="Trebuchet MS" w:hAnsi="Trebuchet MS" w:cs="Arial"/>
          <w:sz w:val="20"/>
          <w:szCs w:val="20"/>
        </w:rPr>
        <w:t>4</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23FD1BE2" w14:textId="5E626B9C"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Universidad opera distintos planes al retiro, incluyendo el de beneficios y contribuciones definidos, así como planes médicos al retiro.</w:t>
      </w:r>
    </w:p>
    <w:p w14:paraId="4023825F" w14:textId="77777777" w:rsidR="00995882" w:rsidRPr="00995882" w:rsidRDefault="00995882" w:rsidP="00995882">
      <w:pPr>
        <w:tabs>
          <w:tab w:val="left" w:leader="underscore" w:pos="9639"/>
        </w:tabs>
        <w:rPr>
          <w:rFonts w:ascii="Trebuchet MS" w:hAnsi="Trebuchet MS" w:cs="Arial"/>
          <w:sz w:val="20"/>
          <w:szCs w:val="20"/>
        </w:rPr>
      </w:pPr>
    </w:p>
    <w:p w14:paraId="2D4D451D" w14:textId="77777777" w:rsidR="00995882" w:rsidRPr="00995882" w:rsidRDefault="00995882" w:rsidP="00995882">
      <w:pPr>
        <w:tabs>
          <w:tab w:val="left" w:leader="underscore" w:pos="9639"/>
        </w:tabs>
        <w:rPr>
          <w:rFonts w:ascii="Trebuchet MS" w:hAnsi="Trebuchet MS" w:cs="Arial"/>
          <w:sz w:val="20"/>
          <w:szCs w:val="20"/>
        </w:rPr>
      </w:pPr>
      <w:r w:rsidRPr="00995882">
        <w:rPr>
          <w:rFonts w:ascii="Trebuchet MS" w:hAnsi="Trebuchet MS" w:cs="Arial"/>
          <w:sz w:val="20"/>
          <w:szCs w:val="20"/>
        </w:rPr>
        <w:t xml:space="preserve">Personal administrativo </w:t>
      </w:r>
    </w:p>
    <w:p w14:paraId="086131C5" w14:textId="77777777" w:rsidR="00995882" w:rsidRPr="00995882" w:rsidRDefault="00995882" w:rsidP="00995882">
      <w:pPr>
        <w:tabs>
          <w:tab w:val="left" w:leader="underscore" w:pos="9639"/>
        </w:tabs>
        <w:rPr>
          <w:rFonts w:ascii="Trebuchet MS" w:hAnsi="Trebuchet MS" w:cs="Arial"/>
          <w:sz w:val="20"/>
          <w:szCs w:val="20"/>
        </w:rPr>
      </w:pPr>
    </w:p>
    <w:p w14:paraId="13BF09F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7DC8ECD2" w14:textId="5237CB2B" w:rsidR="001A65D3" w:rsidRDefault="00995882" w:rsidP="00995882">
      <w:pPr>
        <w:jc w:val="both"/>
        <w:rPr>
          <w:rFonts w:ascii="Trebuchet MS" w:hAnsi="Trebuchet MS" w:cs="Arial"/>
          <w:sz w:val="20"/>
          <w:szCs w:val="20"/>
        </w:rPr>
      </w:pPr>
      <w:r w:rsidRPr="00995882">
        <w:rPr>
          <w:rFonts w:ascii="Trebuchet MS" w:hAnsi="Trebuchet MS" w:cs="Arial"/>
          <w:sz w:val="20"/>
          <w:szCs w:val="20"/>
        </w:rPr>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417A2390"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24269DE"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Indemnizaciones al personal - De conformidad con la Ley Federal del Trabajo, los trabajadores tienen derecho a una indemnización en caso de despido injustificado, las erogaciones por este concepto se registran en los egresos del año en que se pagan.</w:t>
      </w:r>
    </w:p>
    <w:p w14:paraId="3651975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67F886D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pensión se calcula aplicando al sueldo nominal base promedio percibido en el año inmediato anterior una tabla de porcentajes que van del 50% al 95%, dependiendo de los años cotizados.</w:t>
      </w:r>
    </w:p>
    <w:p w14:paraId="32B22A8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1C29F453"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503CC0C8"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w:t>
      </w:r>
    </w:p>
    <w:p w14:paraId="6E47241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3163AFC0"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Personal académico </w:t>
      </w:r>
    </w:p>
    <w:p w14:paraId="1750BCA9" w14:textId="6DDA93D4" w:rsidR="001A65D3"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756627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A9EE059"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573F6BE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1E633FDF"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w:t>
      </w:r>
    </w:p>
    <w:p w14:paraId="7913E3ED"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vejez cubierta por la Universidad será la diferencia en el porcentaje que la Ley del Instituto de Seguridad Social del Estado de Guanajuato, señale para tales casos.</w:t>
      </w:r>
    </w:p>
    <w:p w14:paraId="4D3C56D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w:t>
      </w:r>
    </w:p>
    <w:p w14:paraId="1EDCFE9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32892B0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7824FA6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w:t>
      </w:r>
    </w:p>
    <w:p w14:paraId="46F71EFE" w14:textId="1940700E" w:rsidR="001A65D3"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58178913"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113C381"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D0EA21F" w14:textId="77777777" w:rsidR="00765A4C" w:rsidRPr="00E74967" w:rsidRDefault="00765A4C" w:rsidP="00CB41C4">
      <w:pPr>
        <w:tabs>
          <w:tab w:val="left" w:leader="underscore" w:pos="9639"/>
        </w:tabs>
        <w:spacing w:after="0" w:line="240" w:lineRule="auto"/>
        <w:jc w:val="both"/>
        <w:rPr>
          <w:rFonts w:cs="Calibri"/>
        </w:rPr>
      </w:pPr>
    </w:p>
    <w:p w14:paraId="37C172BE" w14:textId="4EFF45B9" w:rsidR="00765A4C"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Al 3</w:t>
      </w:r>
      <w:r>
        <w:rPr>
          <w:rFonts w:ascii="Trebuchet MS" w:hAnsi="Trebuchet MS"/>
          <w:sz w:val="20"/>
          <w:szCs w:val="20"/>
        </w:rPr>
        <w:t>1</w:t>
      </w:r>
      <w:r w:rsidRPr="007048FC">
        <w:rPr>
          <w:rFonts w:ascii="Trebuchet MS" w:hAnsi="Trebuchet MS"/>
          <w:sz w:val="20"/>
          <w:szCs w:val="20"/>
        </w:rPr>
        <w:t xml:space="preserve"> de </w:t>
      </w:r>
      <w:r>
        <w:rPr>
          <w:rFonts w:ascii="Trebuchet MS" w:hAnsi="Trebuchet MS"/>
          <w:sz w:val="20"/>
          <w:szCs w:val="20"/>
        </w:rPr>
        <w:t>diciembre</w:t>
      </w:r>
      <w:r w:rsidRPr="007048FC">
        <w:rPr>
          <w:rFonts w:ascii="Trebuchet MS" w:hAnsi="Trebuchet MS"/>
          <w:sz w:val="20"/>
          <w:szCs w:val="20"/>
        </w:rPr>
        <w:t xml:space="preserve"> de</w:t>
      </w:r>
      <w:r>
        <w:rPr>
          <w:rFonts w:ascii="Trebuchet MS" w:hAnsi="Trebuchet MS"/>
          <w:sz w:val="20"/>
          <w:szCs w:val="20"/>
        </w:rPr>
        <w:t>l</w:t>
      </w:r>
      <w:r w:rsidRPr="007048FC">
        <w:rPr>
          <w:rFonts w:ascii="Trebuchet MS" w:hAnsi="Trebuchet MS"/>
          <w:sz w:val="20"/>
          <w:szCs w:val="20"/>
        </w:rPr>
        <w:t xml:space="preserve"> 2024 la Universidad ha reconocido en sus provisiones $ </w:t>
      </w:r>
      <w:r>
        <w:rPr>
          <w:rFonts w:ascii="Trebuchet MS" w:hAnsi="Trebuchet MS"/>
          <w:sz w:val="20"/>
          <w:szCs w:val="20"/>
        </w:rPr>
        <w:t xml:space="preserve">936,706,745 </w:t>
      </w:r>
      <w:r w:rsidRPr="007048FC">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7048FC"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135BB0A7" w14:textId="45DCA00A" w:rsidR="00765A4C" w:rsidRPr="00146ED1"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w:t>
      </w:r>
      <w:r>
        <w:rPr>
          <w:rFonts w:ascii="Trebuchet MS" w:hAnsi="Trebuchet MS"/>
          <w:sz w:val="20"/>
          <w:szCs w:val="20"/>
        </w:rPr>
        <w:t>1</w:t>
      </w:r>
      <w:r w:rsidRPr="007048FC">
        <w:rPr>
          <w:rFonts w:ascii="Trebuchet MS" w:hAnsi="Trebuchet MS"/>
          <w:sz w:val="20"/>
          <w:szCs w:val="20"/>
        </w:rPr>
        <w:t xml:space="preserve"> de </w:t>
      </w:r>
      <w:r>
        <w:rPr>
          <w:rFonts w:ascii="Trebuchet MS" w:hAnsi="Trebuchet MS"/>
          <w:sz w:val="20"/>
          <w:szCs w:val="20"/>
        </w:rPr>
        <w:t xml:space="preserve">diciembre </w:t>
      </w:r>
      <w:r w:rsidRPr="007048FC">
        <w:rPr>
          <w:rFonts w:ascii="Trebuchet MS" w:hAnsi="Trebuchet MS"/>
          <w:sz w:val="20"/>
          <w:szCs w:val="20"/>
        </w:rPr>
        <w:t>de 2024 no se han efectuado pagos con cargo a dicha provisión.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7F78BA5" w14:textId="77777777" w:rsidR="00CB0F4E" w:rsidRPr="00E74967" w:rsidRDefault="00CB0F4E" w:rsidP="00CB41C4">
      <w:pPr>
        <w:tabs>
          <w:tab w:val="left" w:leader="underscore" w:pos="9639"/>
        </w:tabs>
        <w:spacing w:after="0" w:line="240" w:lineRule="auto"/>
        <w:jc w:val="both"/>
        <w:rPr>
          <w:rFonts w:cs="Calibri"/>
        </w:rPr>
      </w:pPr>
    </w:p>
    <w:p w14:paraId="3DAA4434" w14:textId="77777777" w:rsidR="00CB0F4E" w:rsidRPr="00CB0F4E"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31 de diciembre de 2024 no se aplicaron nuevas políticas contables ni se modificaron las que se venían aplicando para el reconocimiento de sus operaciones contables de manera sustantiva.</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427C6805" w:rsidR="007D1E76" w:rsidRPr="00CB0F4E" w:rsidRDefault="00CB0F4E" w:rsidP="00CB0F4E">
      <w:pPr>
        <w:tabs>
          <w:tab w:val="left" w:leader="underscore" w:pos="9639"/>
        </w:tabs>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31 de diciembre de 2024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Default="00CB0F4E" w:rsidP="00CB41C4">
      <w:pPr>
        <w:tabs>
          <w:tab w:val="left" w:leader="underscore" w:pos="9639"/>
        </w:tabs>
        <w:spacing w:after="0" w:line="240" w:lineRule="auto"/>
        <w:jc w:val="both"/>
        <w:rPr>
          <w:rFonts w:cs="Calibri"/>
          <w:b/>
        </w:rPr>
      </w:pPr>
    </w:p>
    <w:p w14:paraId="5405EF84" w14:textId="120A0830"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D417FD2" w14:textId="77777777" w:rsidR="00CB0F4E"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Default="00765A4C" w:rsidP="00765A4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C313270" w14:textId="77777777" w:rsidR="00B27F13" w:rsidRDefault="00B27F13">
      <w:pPr>
        <w:spacing w:after="0" w:line="240" w:lineRule="auto"/>
        <w:rPr>
          <w:rFonts w:ascii="Trebuchet MS" w:hAnsi="Trebuchet MS"/>
          <w:sz w:val="20"/>
          <w:szCs w:val="20"/>
        </w:rPr>
      </w:pPr>
      <w:r>
        <w:rPr>
          <w:rFonts w:ascii="Trebuchet MS" w:hAnsi="Trebuchet MS"/>
          <w:sz w:val="20"/>
          <w:szCs w:val="20"/>
        </w:rPr>
        <w:br w:type="page"/>
      </w: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4C7E1DFA" w14:textId="77777777" w:rsidR="00765A4C" w:rsidRPr="00E74967" w:rsidRDefault="00765A4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0408A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65A4C" w:rsidRPr="000408AE" w14:paraId="21995F53" w14:textId="77777777" w:rsidTr="006063CA">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2290A1BC" w14:textId="536A9C16"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145,217</w:t>
            </w:r>
          </w:p>
        </w:tc>
      </w:tr>
      <w:tr w:rsidR="00765A4C" w:rsidRPr="000408AE" w14:paraId="2FF950E5" w14:textId="77777777" w:rsidTr="006063CA">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5F06518E"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sidRPr="00765A4C">
              <w:rPr>
                <w:rFonts w:ascii="Trebuchet MS" w:eastAsia="Times New Roman" w:hAnsi="Trebuchet MS" w:cs="Calibri"/>
                <w:b/>
                <w:bCs/>
                <w:color w:val="000000"/>
                <w:sz w:val="20"/>
                <w:szCs w:val="20"/>
                <w:lang w:eastAsia="es-MX"/>
              </w:rPr>
              <w:t>1,002,980</w:t>
            </w:r>
          </w:p>
        </w:tc>
      </w:tr>
      <w:tr w:rsidR="00765A4C" w:rsidRPr="000408AE" w14:paraId="703E0246" w14:textId="77777777" w:rsidTr="006063CA">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7C662F7F"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40,004</w:t>
            </w:r>
          </w:p>
        </w:tc>
      </w:tr>
      <w:tr w:rsidR="00765A4C" w:rsidRPr="000408AE" w14:paraId="7DC7B9CF" w14:textId="77777777" w:rsidTr="006063CA">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6D7E3818"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2,552</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667072" w14:textId="77777777" w:rsidR="008E6268" w:rsidRDefault="008E6268" w:rsidP="008E6268">
      <w:pPr>
        <w:jc w:val="both"/>
        <w:rPr>
          <w:rFonts w:ascii="Trebuchet MS" w:hAnsi="Trebuchet MS" w:cs="Arial"/>
          <w:b/>
          <w:sz w:val="20"/>
          <w:szCs w:val="20"/>
        </w:rPr>
      </w:pPr>
    </w:p>
    <w:p w14:paraId="146CAEC1" w14:textId="4495E0C6" w:rsidR="007D1E76" w:rsidRDefault="008E6268" w:rsidP="008E6268">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Pr>
          <w:rFonts w:ascii="Trebuchet MS" w:hAnsi="Trebuchet MS" w:cs="Arial"/>
          <w:b/>
          <w:sz w:val="20"/>
          <w:szCs w:val="20"/>
        </w:rPr>
        <w:t>20.5103</w:t>
      </w:r>
    </w:p>
    <w:p w14:paraId="70BE1F5C" w14:textId="77777777" w:rsidR="008E6268" w:rsidRPr="00E74967" w:rsidRDefault="008E6268" w:rsidP="008E6268">
      <w:pPr>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0408A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B820E"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57E91B17"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4C1308D"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8E6268" w:rsidRPr="000408AE" w14:paraId="7BEF56A0"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B38B3F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95D1D5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643C64AE" w14:textId="6025A244" w:rsidR="008E6268" w:rsidRPr="00B27F13" w:rsidRDefault="008E6268" w:rsidP="000029C8">
            <w:pPr>
              <w:spacing w:after="0" w:line="240" w:lineRule="auto"/>
              <w:jc w:val="right"/>
              <w:rPr>
                <w:b/>
                <w:bCs/>
              </w:rPr>
            </w:pPr>
            <w:r w:rsidRPr="00B27F13">
              <w:rPr>
                <w:rFonts w:ascii="Trebuchet MS" w:eastAsia="Times New Roman" w:hAnsi="Trebuchet MS" w:cs="Calibri"/>
                <w:b/>
                <w:bCs/>
                <w:color w:val="000000"/>
                <w:sz w:val="20"/>
                <w:szCs w:val="20"/>
                <w:lang w:eastAsia="es-MX"/>
              </w:rPr>
              <w:t>$</w:t>
            </w:r>
            <w:r w:rsidRPr="00B27F13">
              <w:rPr>
                <w:rFonts w:ascii="Trebuchet MS" w:eastAsia="Times New Roman" w:hAnsi="Trebuchet MS" w:cs="Calibri"/>
                <w:b/>
                <w:bCs/>
                <w:color w:val="000000"/>
                <w:sz w:val="16"/>
                <w:szCs w:val="16"/>
                <w:lang w:eastAsia="es-MX"/>
              </w:rPr>
              <w:t xml:space="preserve"> </w:t>
            </w:r>
            <w:r w:rsidRPr="00B27F13">
              <w:rPr>
                <w:b/>
                <w:bCs/>
              </w:rPr>
              <w:t xml:space="preserve">      </w:t>
            </w:r>
            <w:r w:rsidR="000029C8" w:rsidRPr="00B27F13">
              <w:rPr>
                <w:b/>
                <w:bCs/>
              </w:rPr>
              <w:t>2,978,446</w:t>
            </w:r>
          </w:p>
        </w:tc>
      </w:tr>
      <w:tr w:rsidR="008E6268" w:rsidRPr="000408AE" w14:paraId="4373C35D"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7DB3C27"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209F59BE"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C42A2FF" w14:textId="343F01C7"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20,571,434</w:t>
            </w:r>
          </w:p>
        </w:tc>
      </w:tr>
      <w:tr w:rsidR="008E6268" w:rsidRPr="000408AE" w14:paraId="4D96ABAF"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B1A9F80"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5765CDBC"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77929623" w14:textId="2C8CE5B7"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820,501</w:t>
            </w:r>
          </w:p>
        </w:tc>
      </w:tr>
      <w:tr w:rsidR="008E6268" w:rsidRPr="000A0B52" w14:paraId="4811E8E4"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84532D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01BD1D6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4F1DDF72" w14:textId="6F9D944A"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xml:space="preserve">$    </w:t>
            </w:r>
            <w:r w:rsidRPr="00B27F13">
              <w:rPr>
                <w:rFonts w:ascii="Trebuchet MS" w:eastAsia="Times New Roman" w:hAnsi="Trebuchet MS" w:cs="Calibri"/>
                <w:b/>
                <w:bCs/>
                <w:color w:val="000000"/>
                <w:sz w:val="16"/>
                <w:szCs w:val="16"/>
                <w:lang w:eastAsia="es-MX"/>
              </w:rPr>
              <w:t xml:space="preserve"> </w:t>
            </w:r>
            <w:r w:rsidRPr="00B27F13">
              <w:rPr>
                <w:rFonts w:ascii="Trebuchet MS" w:eastAsia="Times New Roman" w:hAnsi="Trebuchet MS" w:cs="Calibri"/>
                <w:b/>
                <w:bCs/>
                <w:color w:val="000000"/>
                <w:sz w:val="20"/>
                <w:szCs w:val="20"/>
                <w:lang w:eastAsia="es-MX"/>
              </w:rPr>
              <w:t xml:space="preserve">    52,345</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77777777" w:rsidR="00B27F13" w:rsidRDefault="00B27F13">
      <w:pPr>
        <w:spacing w:after="0" w:line="240" w:lineRule="auto"/>
        <w:rPr>
          <w:rFonts w:cs="Calibri"/>
        </w:rPr>
      </w:pPr>
      <w:r>
        <w:rPr>
          <w:rFonts w:cs="Calibri"/>
        </w:rPr>
        <w:br w:type="page"/>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115509" w:rsidRDefault="008E6268" w:rsidP="006063CA">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56518E96" w:rsidR="007D1E76" w:rsidRPr="00E74967"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No aplica en el periodo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Pr="00E74967" w:rsidRDefault="007D1E76"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shd w:val="clear" w:color="auto" w:fill="auto"/>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210CDAB9" w14:textId="77777777" w:rsidTr="006063CA">
        <w:trPr>
          <w:trHeight w:val="450"/>
        </w:trPr>
        <w:tc>
          <w:tcPr>
            <w:tcW w:w="1701" w:type="dxa"/>
            <w:shd w:val="clear" w:color="auto" w:fill="auto"/>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C8492FC" w14:textId="4664F8CA" w:rsidR="008E6268" w:rsidRPr="00AA62D0" w:rsidRDefault="008E6268" w:rsidP="006063CA">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45,203,575</w:t>
            </w:r>
          </w:p>
        </w:tc>
        <w:tc>
          <w:tcPr>
            <w:tcW w:w="1984" w:type="dxa"/>
            <w:shd w:val="clear" w:color="auto" w:fill="auto"/>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7777777" w:rsidR="008E6268" w:rsidRDefault="008E6268" w:rsidP="008E6268">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lastRenderedPageBreak/>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shd w:val="clear" w:color="auto" w:fill="auto"/>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1B00F166" w14:textId="77777777" w:rsidTr="008E6268">
        <w:trPr>
          <w:trHeight w:val="600"/>
        </w:trPr>
        <w:tc>
          <w:tcPr>
            <w:tcW w:w="1701" w:type="dxa"/>
            <w:shd w:val="clear" w:color="auto" w:fill="auto"/>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32B68C8" w14:textId="1F3E460C"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38,622</w:t>
            </w:r>
          </w:p>
        </w:tc>
        <w:tc>
          <w:tcPr>
            <w:tcW w:w="1984" w:type="dxa"/>
            <w:shd w:val="clear" w:color="auto" w:fill="auto"/>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shd w:val="clear" w:color="auto" w:fill="auto"/>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shd w:val="clear" w:color="auto" w:fill="auto"/>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shd w:val="clear" w:color="auto" w:fill="auto"/>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A912DD0" w14:textId="03229231"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113,053</w:t>
            </w:r>
          </w:p>
        </w:tc>
        <w:tc>
          <w:tcPr>
            <w:tcW w:w="1984" w:type="dxa"/>
            <w:shd w:val="clear" w:color="auto" w:fill="auto"/>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shd w:val="clear" w:color="auto" w:fill="auto"/>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A7E1249" w14:textId="21806C6A"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13,158</w:t>
            </w:r>
          </w:p>
        </w:tc>
        <w:tc>
          <w:tcPr>
            <w:tcW w:w="1984" w:type="dxa"/>
            <w:shd w:val="clear" w:color="auto" w:fill="auto"/>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56CBDFEB"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6063CA">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6E2B82" w:rsidRPr="00620003" w14:paraId="14E8B1BC" w14:textId="77777777" w:rsidTr="006E2B82">
        <w:trPr>
          <w:trHeight w:val="1020"/>
        </w:trPr>
        <w:tc>
          <w:tcPr>
            <w:tcW w:w="1578" w:type="dxa"/>
            <w:vAlign w:val="center"/>
            <w:hideMark/>
          </w:tcPr>
          <w:p w14:paraId="31927D61" w14:textId="77777777" w:rsidR="006E2B82" w:rsidRPr="003F14A4" w:rsidRDefault="006E2B82" w:rsidP="006E2B82">
            <w:pPr>
              <w:spacing w:after="0" w:line="240" w:lineRule="auto"/>
              <w:jc w:val="both"/>
            </w:pPr>
            <w:r w:rsidRPr="003F14A4">
              <w:t>1213400010</w:t>
            </w:r>
          </w:p>
        </w:tc>
        <w:tc>
          <w:tcPr>
            <w:tcW w:w="2500" w:type="dxa"/>
            <w:vAlign w:val="center"/>
            <w:hideMark/>
          </w:tcPr>
          <w:p w14:paraId="5BE0C7F4" w14:textId="77777777" w:rsidR="006E2B82" w:rsidRPr="003F14A4" w:rsidRDefault="006E2B82" w:rsidP="006E2B82">
            <w:pPr>
              <w:spacing w:after="0" w:line="240" w:lineRule="auto"/>
              <w:jc w:val="both"/>
            </w:pPr>
            <w:r w:rsidRPr="003F14A4">
              <w:t>Banamex seguro vs accidentes</w:t>
            </w:r>
          </w:p>
        </w:tc>
        <w:tc>
          <w:tcPr>
            <w:tcW w:w="1782" w:type="dxa"/>
            <w:vAlign w:val="center"/>
            <w:hideMark/>
          </w:tcPr>
          <w:p w14:paraId="5963D40D" w14:textId="1012F80E" w:rsidR="006E2B82" w:rsidRPr="003F14A4" w:rsidRDefault="006E2B82" w:rsidP="006E2B82">
            <w:pPr>
              <w:spacing w:after="0" w:line="240" w:lineRule="auto"/>
              <w:jc w:val="right"/>
            </w:pPr>
            <w:r w:rsidRPr="005F5F32">
              <w:t xml:space="preserve"> 254,806 </w:t>
            </w:r>
          </w:p>
        </w:tc>
        <w:tc>
          <w:tcPr>
            <w:tcW w:w="1378" w:type="dxa"/>
            <w:vAlign w:val="center"/>
            <w:hideMark/>
          </w:tcPr>
          <w:p w14:paraId="65CACC97" w14:textId="77777777" w:rsidR="006E2B82" w:rsidRPr="003F14A4" w:rsidRDefault="006E2B82" w:rsidP="006E2B82">
            <w:pPr>
              <w:spacing w:after="0" w:line="240" w:lineRule="auto"/>
              <w:jc w:val="both"/>
            </w:pPr>
            <w:r w:rsidRPr="003F14A4">
              <w:t>TERCEROS</w:t>
            </w:r>
          </w:p>
        </w:tc>
        <w:tc>
          <w:tcPr>
            <w:tcW w:w="2440" w:type="dxa"/>
            <w:vAlign w:val="center"/>
            <w:hideMark/>
          </w:tcPr>
          <w:p w14:paraId="30179CD7"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620003" w14:paraId="7965DBB3" w14:textId="77777777" w:rsidTr="006E2B82">
        <w:trPr>
          <w:trHeight w:val="1020"/>
        </w:trPr>
        <w:tc>
          <w:tcPr>
            <w:tcW w:w="1578" w:type="dxa"/>
            <w:vAlign w:val="center"/>
            <w:hideMark/>
          </w:tcPr>
          <w:p w14:paraId="3DF733AB" w14:textId="77777777" w:rsidR="006E2B82" w:rsidRPr="003F14A4" w:rsidRDefault="006E2B82" w:rsidP="006E2B82">
            <w:pPr>
              <w:spacing w:after="0" w:line="240" w:lineRule="auto"/>
              <w:jc w:val="both"/>
            </w:pPr>
            <w:r w:rsidRPr="003F14A4">
              <w:t>1213400030</w:t>
            </w:r>
          </w:p>
        </w:tc>
        <w:tc>
          <w:tcPr>
            <w:tcW w:w="2500" w:type="dxa"/>
            <w:vAlign w:val="center"/>
            <w:hideMark/>
          </w:tcPr>
          <w:p w14:paraId="4F85EDB4" w14:textId="77777777" w:rsidR="006E2B82" w:rsidRPr="003F14A4" w:rsidRDefault="006E2B82" w:rsidP="006E2B82">
            <w:pPr>
              <w:spacing w:after="0" w:line="240" w:lineRule="auto"/>
              <w:jc w:val="both"/>
            </w:pPr>
            <w:r w:rsidRPr="003F14A4">
              <w:t>Jubilaciones y pensiones</w:t>
            </w:r>
          </w:p>
        </w:tc>
        <w:tc>
          <w:tcPr>
            <w:tcW w:w="1782" w:type="dxa"/>
            <w:vAlign w:val="center"/>
            <w:hideMark/>
          </w:tcPr>
          <w:p w14:paraId="5FFCF046" w14:textId="49F2580B" w:rsidR="006E2B82" w:rsidRPr="003F14A4" w:rsidRDefault="006E2B82" w:rsidP="006E2B82">
            <w:pPr>
              <w:spacing w:after="0" w:line="240" w:lineRule="auto"/>
              <w:jc w:val="right"/>
            </w:pPr>
            <w:r w:rsidRPr="005F5F32">
              <w:t xml:space="preserve"> 848,345,118 </w:t>
            </w:r>
          </w:p>
        </w:tc>
        <w:tc>
          <w:tcPr>
            <w:tcW w:w="1378" w:type="dxa"/>
            <w:vAlign w:val="center"/>
            <w:hideMark/>
          </w:tcPr>
          <w:p w14:paraId="059A9E20" w14:textId="77777777" w:rsidR="006E2B82" w:rsidRPr="003F14A4" w:rsidRDefault="006E2B82" w:rsidP="006E2B82">
            <w:pPr>
              <w:spacing w:after="0" w:line="240" w:lineRule="auto"/>
              <w:jc w:val="both"/>
            </w:pPr>
            <w:r w:rsidRPr="003F14A4">
              <w:t>TERCEROS</w:t>
            </w:r>
          </w:p>
        </w:tc>
        <w:tc>
          <w:tcPr>
            <w:tcW w:w="2440" w:type="dxa"/>
            <w:vAlign w:val="center"/>
            <w:hideMark/>
          </w:tcPr>
          <w:p w14:paraId="17B0EC4C"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bl>
    <w:p w14:paraId="4A865FD8" w14:textId="77777777" w:rsidR="00CC692F" w:rsidRDefault="00CC692F">
      <w:r>
        <w:br w:type="page"/>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620003" w14:paraId="45A7AE87" w14:textId="77777777" w:rsidTr="006E2B82">
        <w:trPr>
          <w:trHeight w:val="1020"/>
        </w:trPr>
        <w:tc>
          <w:tcPr>
            <w:tcW w:w="1578" w:type="dxa"/>
            <w:vAlign w:val="center"/>
            <w:hideMark/>
          </w:tcPr>
          <w:p w14:paraId="53AA55CA" w14:textId="5E6E5A2D" w:rsidR="006E2B82" w:rsidRPr="003F14A4" w:rsidRDefault="006E2B82" w:rsidP="006E2B82">
            <w:pPr>
              <w:spacing w:after="0" w:line="240" w:lineRule="auto"/>
              <w:jc w:val="both"/>
            </w:pPr>
            <w:r w:rsidRPr="003F14A4">
              <w:lastRenderedPageBreak/>
              <w:t>1213400050</w:t>
            </w:r>
          </w:p>
        </w:tc>
        <w:tc>
          <w:tcPr>
            <w:tcW w:w="2500" w:type="dxa"/>
            <w:vAlign w:val="center"/>
            <w:hideMark/>
          </w:tcPr>
          <w:p w14:paraId="48AA18A6" w14:textId="77777777" w:rsidR="006E2B82" w:rsidRPr="003F14A4" w:rsidRDefault="006E2B82" w:rsidP="006E2B82">
            <w:pPr>
              <w:spacing w:after="0" w:line="240" w:lineRule="auto"/>
              <w:jc w:val="both"/>
            </w:pPr>
            <w:r w:rsidRPr="003F14A4">
              <w:t>PRODEP 2016</w:t>
            </w:r>
          </w:p>
        </w:tc>
        <w:tc>
          <w:tcPr>
            <w:tcW w:w="1782" w:type="dxa"/>
            <w:vAlign w:val="center"/>
            <w:hideMark/>
          </w:tcPr>
          <w:p w14:paraId="40807238" w14:textId="3AB4E574" w:rsidR="006E2B82" w:rsidRPr="003F14A4" w:rsidRDefault="006E2B82" w:rsidP="006E2B82">
            <w:pPr>
              <w:spacing w:after="0" w:line="240" w:lineRule="auto"/>
              <w:jc w:val="right"/>
            </w:pPr>
            <w:r w:rsidRPr="005F5F32">
              <w:t xml:space="preserve"> 83,575,941 </w:t>
            </w:r>
          </w:p>
        </w:tc>
        <w:tc>
          <w:tcPr>
            <w:tcW w:w="1378" w:type="dxa"/>
            <w:vAlign w:val="center"/>
            <w:hideMark/>
          </w:tcPr>
          <w:p w14:paraId="1AAAA6FD" w14:textId="77777777" w:rsidR="006E2B82" w:rsidRPr="003F14A4" w:rsidRDefault="006E2B82" w:rsidP="006E2B82">
            <w:pPr>
              <w:spacing w:after="0" w:line="240" w:lineRule="auto"/>
              <w:jc w:val="both"/>
            </w:pPr>
            <w:r w:rsidRPr="003F14A4">
              <w:t>TERCEROS</w:t>
            </w:r>
          </w:p>
        </w:tc>
        <w:tc>
          <w:tcPr>
            <w:tcW w:w="2440" w:type="dxa"/>
            <w:vAlign w:val="center"/>
            <w:hideMark/>
          </w:tcPr>
          <w:p w14:paraId="1FD4E6D1"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620003" w14:paraId="54CED537" w14:textId="77777777" w:rsidTr="006E2B82">
        <w:trPr>
          <w:trHeight w:val="204"/>
        </w:trPr>
        <w:tc>
          <w:tcPr>
            <w:tcW w:w="1578" w:type="dxa"/>
            <w:vAlign w:val="center"/>
          </w:tcPr>
          <w:p w14:paraId="4CDF3946" w14:textId="20CD4D00" w:rsidR="006E2B82" w:rsidRPr="00E5213C" w:rsidRDefault="006E2B82" w:rsidP="006E2B82">
            <w:pPr>
              <w:spacing w:after="0" w:line="240" w:lineRule="auto"/>
              <w:jc w:val="both"/>
            </w:pPr>
            <w:r w:rsidRPr="00CD7372">
              <w:t>1213400450</w:t>
            </w:r>
          </w:p>
        </w:tc>
        <w:tc>
          <w:tcPr>
            <w:tcW w:w="2500" w:type="dxa"/>
            <w:vAlign w:val="center"/>
          </w:tcPr>
          <w:p w14:paraId="2AA5102B" w14:textId="77777777" w:rsidR="006E2B82" w:rsidRPr="006E23B6" w:rsidRDefault="006E2B82" w:rsidP="006E2B82">
            <w:pPr>
              <w:spacing w:after="0" w:line="240" w:lineRule="auto"/>
              <w:jc w:val="both"/>
            </w:pPr>
            <w:r w:rsidRPr="00CD7372">
              <w:t>PRODEP 2019</w:t>
            </w:r>
          </w:p>
        </w:tc>
        <w:tc>
          <w:tcPr>
            <w:tcW w:w="1782" w:type="dxa"/>
            <w:vAlign w:val="center"/>
          </w:tcPr>
          <w:p w14:paraId="1969FE04" w14:textId="738419C8" w:rsidR="006E2B82" w:rsidRPr="00CD7372" w:rsidRDefault="006E2B82" w:rsidP="006E2B82">
            <w:pPr>
              <w:jc w:val="right"/>
            </w:pPr>
            <w:r w:rsidRPr="005F5F32">
              <w:t xml:space="preserve"> 338,641 </w:t>
            </w:r>
          </w:p>
        </w:tc>
        <w:tc>
          <w:tcPr>
            <w:tcW w:w="1378" w:type="dxa"/>
            <w:vAlign w:val="center"/>
          </w:tcPr>
          <w:p w14:paraId="1242A25E" w14:textId="77777777" w:rsidR="006E2B82" w:rsidRPr="006353E5" w:rsidRDefault="006E2B82" w:rsidP="006E2B82">
            <w:pPr>
              <w:spacing w:after="0" w:line="240" w:lineRule="auto"/>
              <w:jc w:val="both"/>
            </w:pPr>
            <w:r w:rsidRPr="006353E5">
              <w:t>TERCEROS</w:t>
            </w:r>
          </w:p>
        </w:tc>
        <w:tc>
          <w:tcPr>
            <w:tcW w:w="2440" w:type="dxa"/>
            <w:vAlign w:val="center"/>
          </w:tcPr>
          <w:p w14:paraId="215BAB7E"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E26F29" w14:paraId="1760E676" w14:textId="77777777" w:rsidTr="006E2B82">
        <w:trPr>
          <w:trHeight w:val="204"/>
        </w:trPr>
        <w:tc>
          <w:tcPr>
            <w:tcW w:w="1578" w:type="dxa"/>
            <w:hideMark/>
          </w:tcPr>
          <w:p w14:paraId="1DD69405"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39ACCF58" w:rsidR="006E2B82" w:rsidRPr="00E26F29" w:rsidRDefault="006E2B82" w:rsidP="006E2B82">
            <w:pPr>
              <w:spacing w:after="0" w:line="240" w:lineRule="auto"/>
              <w:jc w:val="right"/>
              <w:rPr>
                <w:rFonts w:ascii="Trebuchet MS" w:hAnsi="Trebuchet MS"/>
                <w:b/>
                <w:bCs/>
                <w:sz w:val="20"/>
                <w:szCs w:val="20"/>
              </w:rPr>
            </w:pPr>
            <w:r w:rsidRPr="005F5F32">
              <w:t xml:space="preserve"> 932,514,506 </w:t>
            </w:r>
          </w:p>
        </w:tc>
        <w:tc>
          <w:tcPr>
            <w:tcW w:w="1378" w:type="dxa"/>
            <w:hideMark/>
          </w:tcPr>
          <w:p w14:paraId="140D614F"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bookmarkStart w:id="10"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332"/>
        <w:gridCol w:w="1332"/>
        <w:gridCol w:w="1333"/>
        <w:gridCol w:w="1332"/>
        <w:gridCol w:w="1333"/>
      </w:tblGrid>
      <w:tr w:rsidR="001A65D3" w:rsidRPr="00D47571" w14:paraId="1D3D8217" w14:textId="77777777" w:rsidTr="004811F0">
        <w:tc>
          <w:tcPr>
            <w:tcW w:w="2410" w:type="dxa"/>
            <w:vAlign w:val="bottom"/>
          </w:tcPr>
          <w:p w14:paraId="62D6CEBD" w14:textId="77777777" w:rsidR="001A65D3" w:rsidRPr="00D47571" w:rsidRDefault="001A65D3" w:rsidP="004811F0">
            <w:pPr>
              <w:tabs>
                <w:tab w:val="left" w:leader="underscore" w:pos="9639"/>
              </w:tabs>
              <w:jc w:val="center"/>
              <w:rPr>
                <w:b/>
                <w:bCs/>
                <w:sz w:val="16"/>
                <w:szCs w:val="16"/>
              </w:rPr>
            </w:pPr>
            <w:r w:rsidRPr="00D47571">
              <w:rPr>
                <w:b/>
                <w:bCs/>
                <w:sz w:val="16"/>
                <w:szCs w:val="16"/>
              </w:rPr>
              <w:t>Rubro</w:t>
            </w:r>
          </w:p>
        </w:tc>
        <w:tc>
          <w:tcPr>
            <w:tcW w:w="1332" w:type="dxa"/>
            <w:vAlign w:val="bottom"/>
          </w:tcPr>
          <w:p w14:paraId="65C60C03" w14:textId="1B329CC2"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4</w:t>
            </w:r>
          </w:p>
        </w:tc>
        <w:tc>
          <w:tcPr>
            <w:tcW w:w="1332" w:type="dxa"/>
            <w:vAlign w:val="bottom"/>
          </w:tcPr>
          <w:p w14:paraId="79C7C9BF" w14:textId="4C55C357"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3</w:t>
            </w:r>
          </w:p>
        </w:tc>
        <w:tc>
          <w:tcPr>
            <w:tcW w:w="1333" w:type="dxa"/>
            <w:vAlign w:val="bottom"/>
          </w:tcPr>
          <w:p w14:paraId="00938B7E" w14:textId="77777777"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2022</w:t>
            </w:r>
          </w:p>
        </w:tc>
        <w:tc>
          <w:tcPr>
            <w:tcW w:w="1332" w:type="dxa"/>
            <w:vAlign w:val="bottom"/>
          </w:tcPr>
          <w:p w14:paraId="375B11DA" w14:textId="0B365A0D"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1</w:t>
            </w:r>
          </w:p>
        </w:tc>
        <w:tc>
          <w:tcPr>
            <w:tcW w:w="1333" w:type="dxa"/>
            <w:vAlign w:val="bottom"/>
          </w:tcPr>
          <w:p w14:paraId="3BC8B110" w14:textId="315A207E"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0</w:t>
            </w:r>
          </w:p>
        </w:tc>
      </w:tr>
      <w:tr w:rsidR="005C427D" w:rsidRPr="00D47571" w14:paraId="55CED5BA" w14:textId="77777777" w:rsidTr="005C427D">
        <w:tc>
          <w:tcPr>
            <w:tcW w:w="2410" w:type="dxa"/>
            <w:vAlign w:val="bottom"/>
          </w:tcPr>
          <w:p w14:paraId="5BB46693" w14:textId="707D38A1" w:rsidR="005C427D" w:rsidRPr="00D47571" w:rsidRDefault="005C427D" w:rsidP="005C427D">
            <w:pPr>
              <w:tabs>
                <w:tab w:val="left" w:leader="underscore" w:pos="9639"/>
              </w:tabs>
              <w:rPr>
                <w:sz w:val="16"/>
                <w:szCs w:val="16"/>
              </w:rPr>
            </w:pPr>
            <w:r w:rsidRPr="00D47571">
              <w:rPr>
                <w:color w:val="000000"/>
                <w:sz w:val="16"/>
                <w:szCs w:val="16"/>
              </w:rPr>
              <w:t xml:space="preserve">Ingresos </w:t>
            </w:r>
            <w:r w:rsidR="00CC692F">
              <w:rPr>
                <w:color w:val="000000"/>
                <w:sz w:val="16"/>
                <w:szCs w:val="16"/>
              </w:rPr>
              <w:t>Estatales</w:t>
            </w:r>
          </w:p>
        </w:tc>
        <w:tc>
          <w:tcPr>
            <w:tcW w:w="1332" w:type="dxa"/>
            <w:vAlign w:val="center"/>
          </w:tcPr>
          <w:p w14:paraId="32CFF46A" w14:textId="79060903" w:rsidR="005C427D" w:rsidRPr="005C427D" w:rsidRDefault="005C427D" w:rsidP="005C427D">
            <w:pPr>
              <w:tabs>
                <w:tab w:val="left" w:pos="36"/>
                <w:tab w:val="decimal" w:pos="1170"/>
              </w:tabs>
              <w:ind w:left="36" w:right="37"/>
              <w:jc w:val="right"/>
              <w:rPr>
                <w:color w:val="000000"/>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2" w:type="dxa"/>
            <w:vAlign w:val="center"/>
          </w:tcPr>
          <w:p w14:paraId="6EE04645" w14:textId="6618EF40"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3" w:type="dxa"/>
            <w:vAlign w:val="center"/>
          </w:tcPr>
          <w:p w14:paraId="2CF4B503" w14:textId="053E63B8"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c>
          <w:tcPr>
            <w:tcW w:w="1332" w:type="dxa"/>
            <w:vAlign w:val="center"/>
          </w:tcPr>
          <w:p w14:paraId="42D0F5F4" w14:textId="5F736246"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1,452,565,293</w:t>
            </w:r>
          </w:p>
        </w:tc>
        <w:tc>
          <w:tcPr>
            <w:tcW w:w="1333" w:type="dxa"/>
            <w:vAlign w:val="center"/>
          </w:tcPr>
          <w:p w14:paraId="65785E84" w14:textId="73A2B8BC"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1,432,374,458</w:t>
            </w:r>
          </w:p>
        </w:tc>
      </w:tr>
      <w:tr w:rsidR="005C427D" w:rsidRPr="00D47571" w14:paraId="2C12B120" w14:textId="77777777" w:rsidTr="005C427D">
        <w:tc>
          <w:tcPr>
            <w:tcW w:w="2410" w:type="dxa"/>
            <w:vAlign w:val="bottom"/>
          </w:tcPr>
          <w:p w14:paraId="7AEA305C" w14:textId="76DA2306" w:rsidR="005C427D" w:rsidRPr="00D47571" w:rsidRDefault="00CC692F" w:rsidP="005C427D">
            <w:pPr>
              <w:tabs>
                <w:tab w:val="left" w:leader="underscore" w:pos="9639"/>
              </w:tabs>
              <w:ind w:left="179" w:hanging="179"/>
              <w:rPr>
                <w:sz w:val="16"/>
                <w:szCs w:val="16"/>
              </w:rPr>
            </w:pPr>
            <w:r>
              <w:rPr>
                <w:color w:val="000000"/>
                <w:sz w:val="16"/>
                <w:szCs w:val="16"/>
              </w:rPr>
              <w:t>Ingresos Federales</w:t>
            </w:r>
          </w:p>
        </w:tc>
        <w:tc>
          <w:tcPr>
            <w:tcW w:w="1332" w:type="dxa"/>
            <w:vAlign w:val="center"/>
          </w:tcPr>
          <w:p w14:paraId="054E39EE" w14:textId="27F7C31A" w:rsidR="005C427D" w:rsidRPr="005C427D" w:rsidRDefault="005C427D" w:rsidP="005C427D">
            <w:pPr>
              <w:tabs>
                <w:tab w:val="left" w:pos="36"/>
                <w:tab w:val="decimal" w:pos="1170"/>
              </w:tabs>
              <w:ind w:left="36" w:right="37"/>
              <w:jc w:val="right"/>
              <w:rPr>
                <w:color w:val="000000"/>
                <w:sz w:val="16"/>
                <w:szCs w:val="16"/>
              </w:rPr>
            </w:pPr>
            <w:r>
              <w:rPr>
                <w:rFonts w:cs="Calibri"/>
                <w:color w:val="000000"/>
                <w:sz w:val="16"/>
                <w:szCs w:val="16"/>
              </w:rPr>
              <w:t>2,366,112,016</w:t>
            </w:r>
          </w:p>
        </w:tc>
        <w:tc>
          <w:tcPr>
            <w:tcW w:w="1332" w:type="dxa"/>
            <w:vAlign w:val="center"/>
          </w:tcPr>
          <w:p w14:paraId="2511005B" w14:textId="34E6CD20" w:rsidR="005C427D" w:rsidRPr="00D47571" w:rsidRDefault="005C427D" w:rsidP="005C427D">
            <w:pPr>
              <w:tabs>
                <w:tab w:val="left" w:pos="36"/>
                <w:tab w:val="decimal" w:pos="1170"/>
              </w:tabs>
              <w:ind w:left="36" w:right="37"/>
              <w:jc w:val="right"/>
              <w:rPr>
                <w:sz w:val="16"/>
                <w:szCs w:val="16"/>
                <w:u w:val="single"/>
              </w:rPr>
            </w:pPr>
            <w:r>
              <w:rPr>
                <w:rFonts w:cs="Calibri"/>
                <w:color w:val="000000"/>
                <w:sz w:val="16"/>
                <w:szCs w:val="16"/>
              </w:rPr>
              <w:t>2,263,034,049</w:t>
            </w:r>
          </w:p>
        </w:tc>
        <w:tc>
          <w:tcPr>
            <w:tcW w:w="1333" w:type="dxa"/>
            <w:vAlign w:val="center"/>
          </w:tcPr>
          <w:p w14:paraId="184772EF" w14:textId="6F08DEBF" w:rsidR="005C427D" w:rsidRPr="00D47571" w:rsidRDefault="005C427D" w:rsidP="005C427D">
            <w:pPr>
              <w:tabs>
                <w:tab w:val="left" w:pos="36"/>
                <w:tab w:val="decimal" w:pos="1170"/>
              </w:tabs>
              <w:ind w:left="36" w:right="37"/>
              <w:jc w:val="right"/>
              <w:rPr>
                <w:sz w:val="16"/>
                <w:szCs w:val="16"/>
                <w:u w:val="single"/>
              </w:rPr>
            </w:pPr>
            <w:r>
              <w:rPr>
                <w:rFonts w:cs="Calibri"/>
                <w:color w:val="000000"/>
                <w:sz w:val="16"/>
                <w:szCs w:val="16"/>
              </w:rPr>
              <w:t>2,132,021,610</w:t>
            </w:r>
          </w:p>
        </w:tc>
        <w:tc>
          <w:tcPr>
            <w:tcW w:w="1332" w:type="dxa"/>
            <w:vAlign w:val="center"/>
          </w:tcPr>
          <w:p w14:paraId="0811066E" w14:textId="01A49006" w:rsidR="005C427D" w:rsidRPr="00D47571" w:rsidRDefault="005C427D" w:rsidP="005C427D">
            <w:pPr>
              <w:tabs>
                <w:tab w:val="left" w:pos="36"/>
                <w:tab w:val="decimal" w:pos="1170"/>
              </w:tabs>
              <w:ind w:left="36" w:right="37"/>
              <w:jc w:val="right"/>
              <w:rPr>
                <w:color w:val="000000"/>
                <w:sz w:val="16"/>
                <w:szCs w:val="16"/>
                <w:u w:val="single"/>
              </w:rPr>
            </w:pPr>
            <w:r>
              <w:rPr>
                <w:rFonts w:cs="Calibri"/>
                <w:color w:val="000000"/>
                <w:sz w:val="16"/>
                <w:szCs w:val="16"/>
              </w:rPr>
              <w:t>2,038,695,718</w:t>
            </w:r>
          </w:p>
        </w:tc>
        <w:tc>
          <w:tcPr>
            <w:tcW w:w="1333" w:type="dxa"/>
            <w:vAlign w:val="center"/>
          </w:tcPr>
          <w:p w14:paraId="10306801" w14:textId="2957E5FA" w:rsidR="005C427D" w:rsidRPr="00D47571" w:rsidRDefault="005C427D" w:rsidP="005C427D">
            <w:pPr>
              <w:tabs>
                <w:tab w:val="left" w:pos="36"/>
                <w:tab w:val="decimal" w:pos="1170"/>
              </w:tabs>
              <w:ind w:left="36" w:right="37"/>
              <w:jc w:val="right"/>
              <w:rPr>
                <w:color w:val="000000"/>
                <w:sz w:val="16"/>
                <w:szCs w:val="16"/>
                <w:u w:val="single"/>
              </w:rPr>
            </w:pPr>
            <w:r>
              <w:rPr>
                <w:rFonts w:cs="Calibri"/>
                <w:color w:val="000000"/>
                <w:sz w:val="16"/>
                <w:szCs w:val="16"/>
              </w:rPr>
              <w:t>2,001,412,225</w:t>
            </w:r>
          </w:p>
        </w:tc>
      </w:tr>
      <w:tr w:rsidR="005C427D" w:rsidRPr="00D47571" w14:paraId="5BA2AAF2" w14:textId="77777777" w:rsidTr="005C427D">
        <w:tc>
          <w:tcPr>
            <w:tcW w:w="2410" w:type="dxa"/>
          </w:tcPr>
          <w:p w14:paraId="15161366" w14:textId="77777777" w:rsidR="005C427D" w:rsidRPr="00D47571" w:rsidRDefault="005C427D" w:rsidP="005C427D">
            <w:pPr>
              <w:tabs>
                <w:tab w:val="left" w:leader="underscore" w:pos="9639"/>
              </w:tabs>
              <w:rPr>
                <w:sz w:val="16"/>
                <w:szCs w:val="16"/>
              </w:rPr>
            </w:pPr>
          </w:p>
        </w:tc>
        <w:tc>
          <w:tcPr>
            <w:tcW w:w="1332" w:type="dxa"/>
            <w:vAlign w:val="center"/>
          </w:tcPr>
          <w:p w14:paraId="0AF2F3A5" w14:textId="5376C672"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2" w:type="dxa"/>
            <w:vAlign w:val="center"/>
          </w:tcPr>
          <w:p w14:paraId="2579AE46" w14:textId="165A8F19"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3" w:type="dxa"/>
            <w:vAlign w:val="center"/>
          </w:tcPr>
          <w:p w14:paraId="481F8926" w14:textId="1278B9D0"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c>
          <w:tcPr>
            <w:tcW w:w="1332" w:type="dxa"/>
            <w:vAlign w:val="center"/>
          </w:tcPr>
          <w:p w14:paraId="7CDD48D9" w14:textId="631047AB"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3,491,261,011</w:t>
            </w:r>
          </w:p>
        </w:tc>
        <w:tc>
          <w:tcPr>
            <w:tcW w:w="1333" w:type="dxa"/>
            <w:vAlign w:val="center"/>
          </w:tcPr>
          <w:p w14:paraId="5040A910" w14:textId="2106C51D"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3,433,786,683</w:t>
            </w:r>
          </w:p>
        </w:tc>
      </w:tr>
      <w:bookmarkEnd w:id="10"/>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Pr="00E74967" w:rsidRDefault="0066481B" w:rsidP="00CB41C4">
      <w:pPr>
        <w:tabs>
          <w:tab w:val="left" w:leader="underscore" w:pos="9639"/>
        </w:tabs>
        <w:spacing w:after="0" w:line="240" w:lineRule="auto"/>
        <w:jc w:val="both"/>
        <w:rPr>
          <w:rFonts w:cs="Calibri"/>
        </w:rPr>
      </w:pPr>
    </w:p>
    <w:p w14:paraId="26FDB1A9" w14:textId="77777777" w:rsidR="00231FBE" w:rsidRDefault="00231FBE" w:rsidP="00CB41C4">
      <w:pPr>
        <w:tabs>
          <w:tab w:val="left" w:leader="underscore" w:pos="9639"/>
        </w:tabs>
        <w:spacing w:after="0" w:line="240" w:lineRule="auto"/>
        <w:jc w:val="both"/>
        <w:rPr>
          <w:rFonts w:cs="Calibri"/>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2"/>
        <w:gridCol w:w="1332"/>
        <w:gridCol w:w="1333"/>
        <w:gridCol w:w="1332"/>
        <w:gridCol w:w="1333"/>
      </w:tblGrid>
      <w:tr w:rsidR="001A65D3" w:rsidRPr="001A65D3" w14:paraId="704150B7" w14:textId="77777777" w:rsidTr="004811F0">
        <w:tc>
          <w:tcPr>
            <w:tcW w:w="2405" w:type="dxa"/>
            <w:vAlign w:val="bottom"/>
          </w:tcPr>
          <w:p w14:paraId="56EFE0E5" w14:textId="77777777" w:rsidR="001A65D3" w:rsidRPr="001A65D3" w:rsidRDefault="001A65D3" w:rsidP="004811F0">
            <w:pPr>
              <w:tabs>
                <w:tab w:val="left" w:leader="underscore" w:pos="9639"/>
              </w:tabs>
              <w:jc w:val="center"/>
              <w:rPr>
                <w:b/>
                <w:bCs/>
                <w:color w:val="000000"/>
                <w:sz w:val="16"/>
                <w:szCs w:val="16"/>
              </w:rPr>
            </w:pPr>
            <w:r w:rsidRPr="001A65D3">
              <w:rPr>
                <w:b/>
                <w:bCs/>
                <w:color w:val="000000"/>
                <w:sz w:val="16"/>
                <w:szCs w:val="16"/>
              </w:rPr>
              <w:t>Rubro</w:t>
            </w:r>
          </w:p>
        </w:tc>
        <w:tc>
          <w:tcPr>
            <w:tcW w:w="1332" w:type="dxa"/>
            <w:vAlign w:val="bottom"/>
          </w:tcPr>
          <w:p w14:paraId="4B938902"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2025</w:t>
            </w:r>
          </w:p>
        </w:tc>
        <w:tc>
          <w:tcPr>
            <w:tcW w:w="1332" w:type="dxa"/>
            <w:vAlign w:val="bottom"/>
          </w:tcPr>
          <w:p w14:paraId="75FBE711"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2026</w:t>
            </w:r>
          </w:p>
        </w:tc>
        <w:tc>
          <w:tcPr>
            <w:tcW w:w="1333" w:type="dxa"/>
            <w:vAlign w:val="bottom"/>
          </w:tcPr>
          <w:p w14:paraId="5BDC731B"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2027</w:t>
            </w:r>
          </w:p>
        </w:tc>
        <w:tc>
          <w:tcPr>
            <w:tcW w:w="1332" w:type="dxa"/>
            <w:vAlign w:val="bottom"/>
          </w:tcPr>
          <w:p w14:paraId="3338BD6F"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2028</w:t>
            </w:r>
          </w:p>
        </w:tc>
        <w:tc>
          <w:tcPr>
            <w:tcW w:w="1333" w:type="dxa"/>
            <w:vAlign w:val="bottom"/>
          </w:tcPr>
          <w:p w14:paraId="22C81102"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2029</w:t>
            </w:r>
          </w:p>
        </w:tc>
      </w:tr>
      <w:tr w:rsidR="00CC692F" w:rsidRPr="001A65D3" w14:paraId="15421C3A" w14:textId="77777777" w:rsidTr="00A023FB">
        <w:tc>
          <w:tcPr>
            <w:tcW w:w="2405" w:type="dxa"/>
            <w:vAlign w:val="bottom"/>
          </w:tcPr>
          <w:p w14:paraId="14C27844" w14:textId="13344D50" w:rsidR="00CC692F" w:rsidRPr="001A65D3" w:rsidRDefault="00CC692F" w:rsidP="00CC692F">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332" w:type="dxa"/>
            <w:vAlign w:val="center"/>
          </w:tcPr>
          <w:p w14:paraId="038C7EE1"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1,967,700,760</w:t>
            </w:r>
          </w:p>
        </w:tc>
        <w:tc>
          <w:tcPr>
            <w:tcW w:w="1332" w:type="dxa"/>
            <w:vAlign w:val="center"/>
          </w:tcPr>
          <w:p w14:paraId="3FEC3DBA"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2,046,408,790</w:t>
            </w:r>
          </w:p>
        </w:tc>
        <w:tc>
          <w:tcPr>
            <w:tcW w:w="1333" w:type="dxa"/>
            <w:vAlign w:val="center"/>
          </w:tcPr>
          <w:p w14:paraId="6508E70E"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2,148,729,229</w:t>
            </w:r>
          </w:p>
        </w:tc>
        <w:tc>
          <w:tcPr>
            <w:tcW w:w="1332" w:type="dxa"/>
            <w:vAlign w:val="center"/>
          </w:tcPr>
          <w:p w14:paraId="2194DFCD"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2,256,165,691</w:t>
            </w:r>
          </w:p>
        </w:tc>
        <w:tc>
          <w:tcPr>
            <w:tcW w:w="1333" w:type="dxa"/>
            <w:vAlign w:val="center"/>
          </w:tcPr>
          <w:p w14:paraId="675A7B89"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2,368,973,975</w:t>
            </w:r>
          </w:p>
        </w:tc>
      </w:tr>
      <w:tr w:rsidR="00CC692F" w:rsidRPr="001A65D3" w14:paraId="766A5DB7" w14:textId="77777777" w:rsidTr="004811F0">
        <w:trPr>
          <w:trHeight w:val="1418"/>
        </w:trPr>
        <w:tc>
          <w:tcPr>
            <w:tcW w:w="2405" w:type="dxa"/>
            <w:vAlign w:val="bottom"/>
          </w:tcPr>
          <w:p w14:paraId="24418E4D" w14:textId="422B58E8" w:rsidR="00CC692F" w:rsidRPr="001A65D3" w:rsidRDefault="00CC692F" w:rsidP="00CC692F">
            <w:pPr>
              <w:tabs>
                <w:tab w:val="left" w:leader="underscore" w:pos="9639"/>
              </w:tabs>
              <w:ind w:left="168" w:hanging="142"/>
              <w:rPr>
                <w:sz w:val="16"/>
                <w:szCs w:val="16"/>
              </w:rPr>
            </w:pPr>
            <w:r>
              <w:rPr>
                <w:color w:val="000000"/>
                <w:sz w:val="16"/>
                <w:szCs w:val="16"/>
              </w:rPr>
              <w:t>Ingresos Federales</w:t>
            </w:r>
          </w:p>
        </w:tc>
        <w:tc>
          <w:tcPr>
            <w:tcW w:w="1332" w:type="dxa"/>
            <w:vAlign w:val="bottom"/>
          </w:tcPr>
          <w:p w14:paraId="01FCE06A"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2,443,703,899</w:t>
            </w:r>
          </w:p>
        </w:tc>
        <w:tc>
          <w:tcPr>
            <w:tcW w:w="1332" w:type="dxa"/>
            <w:vAlign w:val="bottom"/>
          </w:tcPr>
          <w:p w14:paraId="5D39FE13"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2,541,452,054</w:t>
            </w:r>
          </w:p>
        </w:tc>
        <w:tc>
          <w:tcPr>
            <w:tcW w:w="1333" w:type="dxa"/>
            <w:vAlign w:val="bottom"/>
          </w:tcPr>
          <w:p w14:paraId="14D50842"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2,643,110,137</w:t>
            </w:r>
          </w:p>
        </w:tc>
        <w:tc>
          <w:tcPr>
            <w:tcW w:w="1332" w:type="dxa"/>
            <w:vAlign w:val="bottom"/>
          </w:tcPr>
          <w:p w14:paraId="4BAA7EED"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2,748,834,542</w:t>
            </w:r>
          </w:p>
        </w:tc>
        <w:tc>
          <w:tcPr>
            <w:tcW w:w="1333" w:type="dxa"/>
            <w:vAlign w:val="bottom"/>
          </w:tcPr>
          <w:p w14:paraId="66D437B7"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2,858,787,924</w:t>
            </w:r>
          </w:p>
        </w:tc>
      </w:tr>
      <w:tr w:rsidR="001A65D3" w:rsidRPr="00F72509" w14:paraId="4830499F" w14:textId="77777777" w:rsidTr="004811F0">
        <w:tc>
          <w:tcPr>
            <w:tcW w:w="2405" w:type="dxa"/>
          </w:tcPr>
          <w:p w14:paraId="3E1CDE66" w14:textId="77777777" w:rsidR="001A65D3" w:rsidRPr="001A65D3" w:rsidRDefault="001A65D3" w:rsidP="004811F0">
            <w:pPr>
              <w:tabs>
                <w:tab w:val="left" w:leader="underscore" w:pos="9639"/>
              </w:tabs>
              <w:rPr>
                <w:sz w:val="16"/>
                <w:szCs w:val="16"/>
              </w:rPr>
            </w:pPr>
          </w:p>
        </w:tc>
        <w:tc>
          <w:tcPr>
            <w:tcW w:w="1332" w:type="dxa"/>
            <w:vAlign w:val="center"/>
          </w:tcPr>
          <w:p w14:paraId="748CB8B5"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4,411,404,659</w:t>
            </w:r>
          </w:p>
        </w:tc>
        <w:tc>
          <w:tcPr>
            <w:tcW w:w="1332" w:type="dxa"/>
            <w:vAlign w:val="center"/>
          </w:tcPr>
          <w:p w14:paraId="5596E6CC"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4,587,860,845</w:t>
            </w:r>
          </w:p>
        </w:tc>
        <w:tc>
          <w:tcPr>
            <w:tcW w:w="1333" w:type="dxa"/>
            <w:vAlign w:val="center"/>
          </w:tcPr>
          <w:p w14:paraId="19210172"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4,791,839,367</w:t>
            </w:r>
          </w:p>
        </w:tc>
        <w:tc>
          <w:tcPr>
            <w:tcW w:w="1332" w:type="dxa"/>
            <w:vAlign w:val="center"/>
          </w:tcPr>
          <w:p w14:paraId="22412405"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5,005,000,234</w:t>
            </w:r>
          </w:p>
        </w:tc>
        <w:tc>
          <w:tcPr>
            <w:tcW w:w="1333" w:type="dxa"/>
            <w:vAlign w:val="center"/>
          </w:tcPr>
          <w:p w14:paraId="380F90BC" w14:textId="77777777" w:rsidR="001A65D3" w:rsidRPr="00850D9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5,227,761,900</w:t>
            </w:r>
          </w:p>
        </w:tc>
      </w:tr>
    </w:tbl>
    <w:p w14:paraId="4E1A02F2" w14:textId="31BF2238" w:rsidR="00B27F13" w:rsidRDefault="00B27F13" w:rsidP="00CB41C4">
      <w:pPr>
        <w:tabs>
          <w:tab w:val="left" w:leader="underscore" w:pos="9639"/>
        </w:tabs>
        <w:spacing w:after="0" w:line="240" w:lineRule="auto"/>
        <w:jc w:val="both"/>
        <w:rPr>
          <w:rFonts w:cs="Calibri"/>
        </w:rPr>
      </w:pPr>
    </w:p>
    <w:p w14:paraId="0C90806F" w14:textId="77777777" w:rsidR="00B27F13" w:rsidRDefault="00B27F13">
      <w:pPr>
        <w:spacing w:after="0" w:line="240" w:lineRule="auto"/>
        <w:rPr>
          <w:rFonts w:cs="Calibri"/>
        </w:rPr>
      </w:pPr>
      <w:r>
        <w:rPr>
          <w:rFonts w:cs="Calibri"/>
        </w:rPr>
        <w:br w:type="page"/>
      </w: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929F9A" w14:textId="77777777"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Pr>
          <w:rFonts w:ascii="Trebuchet MS" w:hAnsi="Trebuchet MS"/>
          <w:sz w:val="20"/>
          <w:szCs w:val="20"/>
        </w:rPr>
        <w:t>4</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3752A23E" w14:textId="77777777"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1836CAB6" w14:textId="77777777" w:rsidR="009B27E0" w:rsidRDefault="009B27E0" w:rsidP="009B27E0">
      <w:pPr>
        <w:tabs>
          <w:tab w:val="left" w:leader="underscore" w:pos="9639"/>
        </w:tabs>
        <w:spacing w:after="0" w:line="240" w:lineRule="auto"/>
        <w:jc w:val="both"/>
        <w:rPr>
          <w:rFonts w:ascii="Trebuchet MS" w:hAnsi="Trebuchet MS"/>
          <w:sz w:val="20"/>
          <w:szCs w:val="20"/>
        </w:rPr>
      </w:pPr>
    </w:p>
    <w:p w14:paraId="18A12F40" w14:textId="16F63E29" w:rsidR="009B27E0" w:rsidRDefault="009B27E0" w:rsidP="009B27E0">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202</w:t>
      </w:r>
      <w:r w:rsidR="00003637">
        <w:rPr>
          <w:rFonts w:ascii="Trebuchet MS" w:hAnsi="Trebuchet MS"/>
          <w:sz w:val="20"/>
          <w:szCs w:val="20"/>
        </w:rPr>
        <w:t>4</w:t>
      </w:r>
    </w:p>
    <w:p w14:paraId="0A191A9A" w14:textId="77777777" w:rsidR="009A70CB" w:rsidRPr="006E2B82" w:rsidRDefault="009A70CB" w:rsidP="006E2B82"/>
    <w:p w14:paraId="12F3D156" w14:textId="77777777" w:rsidR="009B27E0" w:rsidRDefault="009B27E0" w:rsidP="006E2B82">
      <w:pPr>
        <w:tabs>
          <w:tab w:val="left" w:leader="underscore" w:pos="9639"/>
        </w:tabs>
        <w:spacing w:after="0" w:line="240" w:lineRule="auto"/>
        <w:jc w:val="both"/>
        <w:rPr>
          <w:rFonts w:ascii="Trebuchet MS" w:hAnsi="Trebuchet MS"/>
          <w:sz w:val="20"/>
          <w:szCs w:val="20"/>
        </w:rPr>
      </w:pPr>
    </w:p>
    <w:p w14:paraId="24C80168" w14:textId="629772F3"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 xml:space="preserve">La Universidad de Guanajuato tiene en </w:t>
      </w:r>
      <w:r w:rsidRPr="000A29CC">
        <w:rPr>
          <w:rFonts w:ascii="Trebuchet MS" w:hAnsi="Trebuchet MS"/>
          <w:sz w:val="20"/>
          <w:szCs w:val="20"/>
        </w:rPr>
        <w:t xml:space="preserve">proceso </w:t>
      </w:r>
      <w:r w:rsidR="00781ED6">
        <w:rPr>
          <w:rFonts w:ascii="Trebuchet MS" w:hAnsi="Trebuchet MS"/>
          <w:sz w:val="20"/>
          <w:szCs w:val="20"/>
        </w:rPr>
        <w:t>221</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27EAB1DF" w14:textId="77777777" w:rsidR="006E2B82" w:rsidRPr="001E43D4" w:rsidRDefault="006E2B82" w:rsidP="006E2B82">
      <w:pPr>
        <w:tabs>
          <w:tab w:val="left" w:leader="underscore" w:pos="9639"/>
        </w:tabs>
        <w:spacing w:after="0" w:line="240" w:lineRule="auto"/>
        <w:jc w:val="both"/>
        <w:rPr>
          <w:rFonts w:ascii="Trebuchet MS" w:hAnsi="Trebuchet MS"/>
          <w:sz w:val="20"/>
          <w:szCs w:val="20"/>
        </w:rPr>
      </w:pPr>
    </w:p>
    <w:tbl>
      <w:tblPr>
        <w:tblW w:w="10969" w:type="dxa"/>
        <w:tblInd w:w="-577" w:type="dxa"/>
        <w:tblCellMar>
          <w:left w:w="70" w:type="dxa"/>
          <w:right w:w="70" w:type="dxa"/>
        </w:tblCellMar>
        <w:tblLook w:val="04A0" w:firstRow="1" w:lastRow="0" w:firstColumn="1" w:lastColumn="0" w:noHBand="0" w:noVBand="1"/>
      </w:tblPr>
      <w:tblGrid>
        <w:gridCol w:w="1232"/>
        <w:gridCol w:w="1904"/>
        <w:gridCol w:w="1530"/>
        <w:gridCol w:w="1268"/>
        <w:gridCol w:w="2578"/>
        <w:gridCol w:w="1413"/>
        <w:gridCol w:w="1044"/>
      </w:tblGrid>
      <w:tr w:rsidR="006E2B82" w:rsidRPr="003D1C2C" w14:paraId="3526FBD8" w14:textId="77777777" w:rsidTr="00781ED6">
        <w:trPr>
          <w:trHeight w:val="525"/>
          <w:tblHeader/>
        </w:trPr>
        <w:tc>
          <w:tcPr>
            <w:tcW w:w="123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5FC160" w14:textId="77777777" w:rsidR="00781ED6" w:rsidRDefault="006E2B82" w:rsidP="00781ED6">
            <w:pPr>
              <w:spacing w:after="0" w:line="240" w:lineRule="auto"/>
              <w:ind w:left="-501" w:right="-393"/>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lastRenderedPageBreak/>
              <w:t xml:space="preserve">Número </w:t>
            </w:r>
            <w:r w:rsidR="00781ED6" w:rsidRPr="00781ED6">
              <w:rPr>
                <w:rFonts w:ascii="Times New Roman" w:eastAsia="Times New Roman" w:hAnsi="Times New Roman"/>
                <w:b/>
                <w:bCs/>
                <w:sz w:val="20"/>
                <w:szCs w:val="20"/>
                <w:lang w:eastAsia="es-MX"/>
              </w:rPr>
              <w:t>de</w:t>
            </w:r>
          </w:p>
          <w:p w14:paraId="550364F6" w14:textId="038A748B" w:rsidR="006E2B82" w:rsidRPr="00781ED6" w:rsidRDefault="00781ED6" w:rsidP="00781ED6">
            <w:pPr>
              <w:spacing w:after="0" w:line="240" w:lineRule="auto"/>
              <w:ind w:left="-501" w:right="-393"/>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E452474"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D947658"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038CDFB8"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4E6F4FD6"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F56B536"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5C72A4BE"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Juzgado</w:t>
            </w:r>
          </w:p>
        </w:tc>
      </w:tr>
      <w:tr w:rsidR="00781ED6" w:rsidRPr="003D1C2C" w14:paraId="36499896"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339859BF" w14:textId="51F129E5"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624/2013</w:t>
            </w:r>
          </w:p>
        </w:tc>
        <w:tc>
          <w:tcPr>
            <w:tcW w:w="1904" w:type="dxa"/>
            <w:tcBorders>
              <w:top w:val="nil"/>
              <w:left w:val="nil"/>
              <w:bottom w:val="single" w:sz="4" w:space="0" w:color="auto"/>
              <w:right w:val="single" w:sz="4" w:space="0" w:color="auto"/>
            </w:tcBorders>
            <w:shd w:val="clear" w:color="auto" w:fill="auto"/>
            <w:vAlign w:val="center"/>
            <w:hideMark/>
          </w:tcPr>
          <w:p w14:paraId="76B7CAC7" w14:textId="76E8754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03EB1EB2" w14:textId="3AD49CE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6E054371" w14:textId="10DF55AA"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Hernández Ramírez Ignacio</w:t>
            </w:r>
          </w:p>
        </w:tc>
        <w:tc>
          <w:tcPr>
            <w:tcW w:w="2578" w:type="dxa"/>
            <w:tcBorders>
              <w:top w:val="nil"/>
              <w:left w:val="nil"/>
              <w:bottom w:val="single" w:sz="4" w:space="0" w:color="auto"/>
              <w:right w:val="single" w:sz="4" w:space="0" w:color="auto"/>
            </w:tcBorders>
            <w:shd w:val="clear" w:color="auto" w:fill="auto"/>
            <w:vAlign w:val="center"/>
            <w:hideMark/>
          </w:tcPr>
          <w:p w14:paraId="5AF92968" w14:textId="2ECB44D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23B64F3A" w14:textId="1BBBF3C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240A32BF" w14:textId="31928116"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75B5E49B"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406F8C1B" w14:textId="26823CF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691/2018</w:t>
            </w:r>
          </w:p>
        </w:tc>
        <w:tc>
          <w:tcPr>
            <w:tcW w:w="1904" w:type="dxa"/>
            <w:tcBorders>
              <w:top w:val="nil"/>
              <w:left w:val="nil"/>
              <w:bottom w:val="single" w:sz="4" w:space="0" w:color="auto"/>
              <w:right w:val="single" w:sz="4" w:space="0" w:color="auto"/>
            </w:tcBorders>
            <w:shd w:val="clear" w:color="auto" w:fill="auto"/>
            <w:vAlign w:val="center"/>
            <w:hideMark/>
          </w:tcPr>
          <w:p w14:paraId="125ECAF1" w14:textId="69C5E65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599C3EF0" w14:textId="1AF44C7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A2770A7" w14:textId="52C6899C"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Gallardo Carrillo José de Jesús</w:t>
            </w:r>
          </w:p>
        </w:tc>
        <w:tc>
          <w:tcPr>
            <w:tcW w:w="2578" w:type="dxa"/>
            <w:tcBorders>
              <w:top w:val="nil"/>
              <w:left w:val="nil"/>
              <w:bottom w:val="single" w:sz="4" w:space="0" w:color="auto"/>
              <w:right w:val="single" w:sz="4" w:space="0" w:color="auto"/>
            </w:tcBorders>
            <w:shd w:val="clear" w:color="auto" w:fill="auto"/>
            <w:vAlign w:val="center"/>
            <w:hideMark/>
          </w:tcPr>
          <w:p w14:paraId="36198CFC" w14:textId="23BD6A4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0D4282FB" w14:textId="0021161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BA78C15" w14:textId="5A6C917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57948E3A"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5E100C7C" w14:textId="64E4693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117/1996</w:t>
            </w:r>
          </w:p>
        </w:tc>
        <w:tc>
          <w:tcPr>
            <w:tcW w:w="1904" w:type="dxa"/>
            <w:tcBorders>
              <w:top w:val="nil"/>
              <w:left w:val="nil"/>
              <w:bottom w:val="single" w:sz="4" w:space="0" w:color="auto"/>
              <w:right w:val="single" w:sz="4" w:space="0" w:color="auto"/>
            </w:tcBorders>
            <w:shd w:val="clear" w:color="auto" w:fill="auto"/>
            <w:vAlign w:val="center"/>
            <w:hideMark/>
          </w:tcPr>
          <w:p w14:paraId="28BBECC1" w14:textId="55CD1EA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4C767DAE" w14:textId="2A571D4F"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8C066AE" w14:textId="4DD4A2A4"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Velázquez Rangel, Arturo</w:t>
            </w:r>
          </w:p>
        </w:tc>
        <w:tc>
          <w:tcPr>
            <w:tcW w:w="2578" w:type="dxa"/>
            <w:tcBorders>
              <w:top w:val="nil"/>
              <w:left w:val="nil"/>
              <w:bottom w:val="single" w:sz="4" w:space="0" w:color="auto"/>
              <w:right w:val="single" w:sz="4" w:space="0" w:color="auto"/>
            </w:tcBorders>
            <w:shd w:val="clear" w:color="auto" w:fill="auto"/>
            <w:vAlign w:val="center"/>
            <w:hideMark/>
          </w:tcPr>
          <w:p w14:paraId="083025B0" w14:textId="7E39857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A2289CF" w14:textId="584EAAC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5A0D9EDE" w14:textId="246D6208"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2C4383AA"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79213044" w14:textId="7899407F"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252/2015</w:t>
            </w:r>
          </w:p>
        </w:tc>
        <w:tc>
          <w:tcPr>
            <w:tcW w:w="1904" w:type="dxa"/>
            <w:tcBorders>
              <w:top w:val="nil"/>
              <w:left w:val="nil"/>
              <w:bottom w:val="single" w:sz="4" w:space="0" w:color="auto"/>
              <w:right w:val="single" w:sz="4" w:space="0" w:color="auto"/>
            </w:tcBorders>
            <w:shd w:val="clear" w:color="auto" w:fill="auto"/>
            <w:vAlign w:val="center"/>
            <w:hideMark/>
          </w:tcPr>
          <w:p w14:paraId="0945A1CF" w14:textId="47BA2ECE"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4F5D347A" w14:textId="1000C310"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45B30197" w14:textId="4DA5D85A"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Villalpando Rubio, Rodolfo</w:t>
            </w:r>
          </w:p>
        </w:tc>
        <w:tc>
          <w:tcPr>
            <w:tcW w:w="2578" w:type="dxa"/>
            <w:tcBorders>
              <w:top w:val="nil"/>
              <w:left w:val="nil"/>
              <w:bottom w:val="single" w:sz="4" w:space="0" w:color="auto"/>
              <w:right w:val="single" w:sz="4" w:space="0" w:color="auto"/>
            </w:tcBorders>
            <w:shd w:val="clear" w:color="auto" w:fill="auto"/>
            <w:vAlign w:val="center"/>
            <w:hideMark/>
          </w:tcPr>
          <w:p w14:paraId="7F50CC74" w14:textId="6D86BF88"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59C06CBC" w14:textId="6431B52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46184608" w14:textId="2DCFA56C"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Décimo Cuarto Civil de Partido</w:t>
            </w:r>
          </w:p>
        </w:tc>
      </w:tr>
      <w:tr w:rsidR="00781ED6" w:rsidRPr="003D1C2C" w14:paraId="5B45A7CD"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351ED3AB" w14:textId="2469957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240/2023</w:t>
            </w:r>
          </w:p>
        </w:tc>
        <w:tc>
          <w:tcPr>
            <w:tcW w:w="1904" w:type="dxa"/>
            <w:tcBorders>
              <w:top w:val="nil"/>
              <w:left w:val="nil"/>
              <w:bottom w:val="single" w:sz="4" w:space="0" w:color="auto"/>
              <w:right w:val="single" w:sz="4" w:space="0" w:color="auto"/>
            </w:tcBorders>
            <w:shd w:val="clear" w:color="auto" w:fill="auto"/>
            <w:vAlign w:val="center"/>
            <w:hideMark/>
          </w:tcPr>
          <w:p w14:paraId="7AAB28D3" w14:textId="32CC3120"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134A2176" w14:textId="3E20D7F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DF27A9F" w14:textId="3D05A2E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M. Lourdes Castro Sosa</w:t>
            </w:r>
          </w:p>
        </w:tc>
        <w:tc>
          <w:tcPr>
            <w:tcW w:w="2578" w:type="dxa"/>
            <w:tcBorders>
              <w:top w:val="nil"/>
              <w:left w:val="nil"/>
              <w:bottom w:val="single" w:sz="4" w:space="0" w:color="auto"/>
              <w:right w:val="single" w:sz="4" w:space="0" w:color="auto"/>
            </w:tcBorders>
            <w:shd w:val="clear" w:color="auto" w:fill="auto"/>
            <w:vAlign w:val="center"/>
            <w:hideMark/>
          </w:tcPr>
          <w:p w14:paraId="7A56D590" w14:textId="60D9F15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704BF12B" w14:textId="10CEC2B6"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2C6FE234" w14:textId="7FF55FF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Quinto Civil de Partido</w:t>
            </w:r>
          </w:p>
        </w:tc>
      </w:tr>
      <w:tr w:rsidR="00781ED6" w:rsidRPr="003D1C2C" w14:paraId="02CDD1E6" w14:textId="77777777" w:rsidTr="00781ED6">
        <w:trPr>
          <w:trHeight w:val="178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1A43452F" w14:textId="48B79FA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197/2023</w:t>
            </w:r>
          </w:p>
        </w:tc>
        <w:tc>
          <w:tcPr>
            <w:tcW w:w="1904" w:type="dxa"/>
            <w:tcBorders>
              <w:top w:val="nil"/>
              <w:left w:val="nil"/>
              <w:bottom w:val="single" w:sz="4" w:space="0" w:color="auto"/>
              <w:right w:val="single" w:sz="4" w:space="0" w:color="auto"/>
            </w:tcBorders>
            <w:shd w:val="clear" w:color="auto" w:fill="auto"/>
            <w:vAlign w:val="center"/>
            <w:hideMark/>
          </w:tcPr>
          <w:p w14:paraId="21C1CA28" w14:textId="6075269D"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22752F35" w14:textId="721568E1"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04A0D375" w14:textId="60634F78"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A bienes de José </w:t>
            </w:r>
            <w:proofErr w:type="spellStart"/>
            <w:r>
              <w:rPr>
                <w:rFonts w:cs="Calibri"/>
                <w:color w:val="000000"/>
              </w:rPr>
              <w:t>Éfren</w:t>
            </w:r>
            <w:proofErr w:type="spellEnd"/>
            <w:r>
              <w:rPr>
                <w:rFonts w:cs="Calibri"/>
                <w:color w:val="000000"/>
              </w:rPr>
              <w:t xml:space="preserve"> Ramon </w:t>
            </w:r>
            <w:proofErr w:type="spellStart"/>
            <w:r>
              <w:rPr>
                <w:rFonts w:cs="Calibri"/>
                <w:color w:val="000000"/>
              </w:rPr>
              <w:t>Gomez</w:t>
            </w:r>
            <w:proofErr w:type="spellEnd"/>
            <w:r>
              <w:rPr>
                <w:rFonts w:cs="Calibri"/>
                <w:color w:val="000000"/>
              </w:rPr>
              <w:t xml:space="preserve"> Mejía</w:t>
            </w:r>
          </w:p>
        </w:tc>
        <w:tc>
          <w:tcPr>
            <w:tcW w:w="2578" w:type="dxa"/>
            <w:tcBorders>
              <w:top w:val="nil"/>
              <w:left w:val="nil"/>
              <w:bottom w:val="single" w:sz="4" w:space="0" w:color="auto"/>
              <w:right w:val="single" w:sz="4" w:space="0" w:color="auto"/>
            </w:tcBorders>
            <w:shd w:val="clear" w:color="auto" w:fill="auto"/>
            <w:vAlign w:val="center"/>
            <w:hideMark/>
          </w:tcPr>
          <w:p w14:paraId="28DCE2C2" w14:textId="7C3A5976"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CF3E93E" w14:textId="097743E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Valle de Santiago</w:t>
            </w:r>
          </w:p>
        </w:tc>
        <w:tc>
          <w:tcPr>
            <w:tcW w:w="1044" w:type="dxa"/>
            <w:tcBorders>
              <w:top w:val="nil"/>
              <w:left w:val="nil"/>
              <w:bottom w:val="single" w:sz="4" w:space="0" w:color="auto"/>
              <w:right w:val="single" w:sz="8" w:space="0" w:color="auto"/>
            </w:tcBorders>
            <w:shd w:val="clear" w:color="auto" w:fill="auto"/>
            <w:vAlign w:val="center"/>
            <w:hideMark/>
          </w:tcPr>
          <w:p w14:paraId="7447D546" w14:textId="05A18FC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Primero Civil de Partido</w:t>
            </w:r>
          </w:p>
        </w:tc>
      </w:tr>
      <w:tr w:rsidR="00781ED6" w:rsidRPr="004128DA" w14:paraId="59AFC806"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2CFA1496" w14:textId="3F4AF9F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381/2018</w:t>
            </w:r>
          </w:p>
        </w:tc>
        <w:tc>
          <w:tcPr>
            <w:tcW w:w="1904" w:type="dxa"/>
            <w:tcBorders>
              <w:top w:val="nil"/>
              <w:left w:val="nil"/>
              <w:bottom w:val="single" w:sz="4" w:space="0" w:color="auto"/>
              <w:right w:val="single" w:sz="4" w:space="0" w:color="auto"/>
            </w:tcBorders>
            <w:shd w:val="clear" w:color="auto" w:fill="auto"/>
            <w:vAlign w:val="center"/>
            <w:hideMark/>
          </w:tcPr>
          <w:p w14:paraId="10F48288" w14:textId="4BE21DCF"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 xml:space="preserve">Juicio Sucesorio </w:t>
            </w:r>
            <w:proofErr w:type="spellStart"/>
            <w:r>
              <w:rPr>
                <w:rFonts w:cs="Calibri"/>
                <w:color w:val="000000"/>
              </w:rPr>
              <w:t>Intestamentario</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0F406331" w14:textId="2588681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42A02BA" w14:textId="3570BEC4"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Agustín Regalado Cerna</w:t>
            </w:r>
          </w:p>
        </w:tc>
        <w:tc>
          <w:tcPr>
            <w:tcW w:w="2578" w:type="dxa"/>
            <w:tcBorders>
              <w:top w:val="nil"/>
              <w:left w:val="nil"/>
              <w:bottom w:val="single" w:sz="4" w:space="0" w:color="auto"/>
              <w:right w:val="single" w:sz="4" w:space="0" w:color="auto"/>
            </w:tcBorders>
            <w:shd w:val="clear" w:color="auto" w:fill="auto"/>
            <w:vAlign w:val="center"/>
            <w:hideMark/>
          </w:tcPr>
          <w:p w14:paraId="4AB76EB0" w14:textId="2E5940B1"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7A1E3CF6" w14:textId="567AF333"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Yuriria</w:t>
            </w:r>
          </w:p>
        </w:tc>
        <w:tc>
          <w:tcPr>
            <w:tcW w:w="1044" w:type="dxa"/>
            <w:tcBorders>
              <w:top w:val="nil"/>
              <w:left w:val="nil"/>
              <w:bottom w:val="single" w:sz="4" w:space="0" w:color="auto"/>
              <w:right w:val="single" w:sz="8" w:space="0" w:color="auto"/>
            </w:tcBorders>
            <w:shd w:val="clear" w:color="auto" w:fill="auto"/>
            <w:vAlign w:val="center"/>
            <w:hideMark/>
          </w:tcPr>
          <w:p w14:paraId="7515A033" w14:textId="78C28FB1"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Único Civil de Partido</w:t>
            </w:r>
          </w:p>
        </w:tc>
      </w:tr>
    </w:tbl>
    <w:p w14:paraId="55D08D4D" w14:textId="646859ED" w:rsidR="00B27F13" w:rsidRDefault="00B27F13" w:rsidP="00CB41C4">
      <w:pPr>
        <w:tabs>
          <w:tab w:val="left" w:leader="underscore" w:pos="9639"/>
        </w:tabs>
        <w:spacing w:after="0" w:line="240" w:lineRule="auto"/>
        <w:jc w:val="both"/>
        <w:rPr>
          <w:rFonts w:cs="Calibri"/>
        </w:rPr>
      </w:pPr>
    </w:p>
    <w:p w14:paraId="124ECAC4" w14:textId="77777777" w:rsidR="00B27F13" w:rsidRDefault="00B27F13">
      <w:pPr>
        <w:spacing w:after="0" w:line="240" w:lineRule="auto"/>
        <w:rPr>
          <w:rFonts w:cs="Calibri"/>
        </w:rPr>
      </w:pPr>
      <w:r>
        <w:rPr>
          <w:rFonts w:cs="Calibri"/>
        </w:rPr>
        <w:br w:type="page"/>
      </w:r>
    </w:p>
    <w:p w14:paraId="6B4580BA"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64E5" w14:textId="77777777" w:rsidR="00416E17" w:rsidRDefault="00416E17" w:rsidP="00E00323">
      <w:pPr>
        <w:spacing w:after="0" w:line="240" w:lineRule="auto"/>
      </w:pPr>
      <w:r>
        <w:separator/>
      </w:r>
    </w:p>
  </w:endnote>
  <w:endnote w:type="continuationSeparator" w:id="0">
    <w:p w14:paraId="4BFC1E27" w14:textId="77777777" w:rsidR="00416E17" w:rsidRDefault="00416E1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087D" w14:textId="77777777" w:rsidR="00416E17" w:rsidRDefault="00416E17" w:rsidP="00E00323">
      <w:pPr>
        <w:spacing w:after="0" w:line="240" w:lineRule="auto"/>
      </w:pPr>
      <w:r>
        <w:separator/>
      </w:r>
    </w:p>
  </w:footnote>
  <w:footnote w:type="continuationSeparator" w:id="0">
    <w:p w14:paraId="414F2C0C" w14:textId="77777777" w:rsidR="00416E17" w:rsidRDefault="00416E1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651A4C4F" w14:textId="7ED9DFD4" w:rsidR="00A4610E" w:rsidRDefault="00A4610E" w:rsidP="00A4610E">
    <w:pPr>
      <w:pStyle w:val="Encabezado"/>
      <w:spacing w:after="0" w:line="240" w:lineRule="auto"/>
      <w:jc w:val="center"/>
    </w:pPr>
    <w:r w:rsidRPr="00A4610E">
      <w:t>CORRESPONDI</w:t>
    </w:r>
    <w:r w:rsidR="00DD018C">
      <w:t>E</w:t>
    </w:r>
    <w:r w:rsidRPr="00A4610E">
      <w:t xml:space="preserve">NTES AL </w:t>
    </w:r>
    <w:r w:rsidR="00D75307">
      <w:t>31 DE DICIEMBRE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3"/>
  </w:num>
  <w:num w:numId="2" w16cid:durableId="1598906956">
    <w:abstractNumId w:val="14"/>
  </w:num>
  <w:num w:numId="3" w16cid:durableId="1813670333">
    <w:abstractNumId w:val="8"/>
  </w:num>
  <w:num w:numId="4" w16cid:durableId="744957867">
    <w:abstractNumId w:val="1"/>
  </w:num>
  <w:num w:numId="5" w16cid:durableId="738750327">
    <w:abstractNumId w:val="9"/>
  </w:num>
  <w:num w:numId="6" w16cid:durableId="228811280">
    <w:abstractNumId w:val="5"/>
  </w:num>
  <w:num w:numId="7" w16cid:durableId="537662601">
    <w:abstractNumId w:val="7"/>
  </w:num>
  <w:num w:numId="8" w16cid:durableId="294726338">
    <w:abstractNumId w:val="18"/>
  </w:num>
  <w:num w:numId="9" w16cid:durableId="1175921204">
    <w:abstractNumId w:val="17"/>
  </w:num>
  <w:num w:numId="10" w16cid:durableId="699163714">
    <w:abstractNumId w:val="0"/>
  </w:num>
  <w:num w:numId="11" w16cid:durableId="1116212906">
    <w:abstractNumId w:val="19"/>
  </w:num>
  <w:num w:numId="12" w16cid:durableId="1127627790">
    <w:abstractNumId w:val="10"/>
  </w:num>
  <w:num w:numId="13" w16cid:durableId="1531796679">
    <w:abstractNumId w:val="6"/>
  </w:num>
  <w:num w:numId="14" w16cid:durableId="505436802">
    <w:abstractNumId w:val="2"/>
  </w:num>
  <w:num w:numId="15" w16cid:durableId="1668358586">
    <w:abstractNumId w:val="3"/>
  </w:num>
  <w:num w:numId="16" w16cid:durableId="631012122">
    <w:abstractNumId w:val="11"/>
  </w:num>
  <w:num w:numId="17" w16cid:durableId="1928994893">
    <w:abstractNumId w:val="12"/>
  </w:num>
  <w:num w:numId="18" w16cid:durableId="2010212781">
    <w:abstractNumId w:val="16"/>
  </w:num>
  <w:num w:numId="19" w16cid:durableId="1599678568">
    <w:abstractNumId w:val="15"/>
  </w:num>
  <w:num w:numId="20" w16cid:durableId="128564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310EF"/>
    <w:rsid w:val="00040D4F"/>
    <w:rsid w:val="00084EAE"/>
    <w:rsid w:val="00091CE6"/>
    <w:rsid w:val="000B7810"/>
    <w:rsid w:val="000C3365"/>
    <w:rsid w:val="00106EE9"/>
    <w:rsid w:val="0012405A"/>
    <w:rsid w:val="0012493A"/>
    <w:rsid w:val="00143ACA"/>
    <w:rsid w:val="00154BA3"/>
    <w:rsid w:val="001973A2"/>
    <w:rsid w:val="001A65D3"/>
    <w:rsid w:val="001C34BC"/>
    <w:rsid w:val="001C710C"/>
    <w:rsid w:val="001C75F2"/>
    <w:rsid w:val="001D2063"/>
    <w:rsid w:val="001D43E9"/>
    <w:rsid w:val="001E7B4B"/>
    <w:rsid w:val="00231FBE"/>
    <w:rsid w:val="00232175"/>
    <w:rsid w:val="0024740E"/>
    <w:rsid w:val="002722DD"/>
    <w:rsid w:val="00295B72"/>
    <w:rsid w:val="002A7406"/>
    <w:rsid w:val="003453CA"/>
    <w:rsid w:val="003749F1"/>
    <w:rsid w:val="00396D53"/>
    <w:rsid w:val="003A697C"/>
    <w:rsid w:val="003E6C64"/>
    <w:rsid w:val="00416E17"/>
    <w:rsid w:val="00423D14"/>
    <w:rsid w:val="0043078C"/>
    <w:rsid w:val="00435A87"/>
    <w:rsid w:val="004A1077"/>
    <w:rsid w:val="004A58C8"/>
    <w:rsid w:val="004B5B05"/>
    <w:rsid w:val="004F234D"/>
    <w:rsid w:val="004F6FAC"/>
    <w:rsid w:val="005053EE"/>
    <w:rsid w:val="00516100"/>
    <w:rsid w:val="00516A8F"/>
    <w:rsid w:val="00540261"/>
    <w:rsid w:val="0054701E"/>
    <w:rsid w:val="005B0867"/>
    <w:rsid w:val="005B5531"/>
    <w:rsid w:val="005C427D"/>
    <w:rsid w:val="005D3E43"/>
    <w:rsid w:val="005E231E"/>
    <w:rsid w:val="005F2900"/>
    <w:rsid w:val="005F51CC"/>
    <w:rsid w:val="0064059E"/>
    <w:rsid w:val="00657009"/>
    <w:rsid w:val="0066481B"/>
    <w:rsid w:val="00681C79"/>
    <w:rsid w:val="006B1ADF"/>
    <w:rsid w:val="006E2B82"/>
    <w:rsid w:val="006F0687"/>
    <w:rsid w:val="006F4638"/>
    <w:rsid w:val="006F77A8"/>
    <w:rsid w:val="00700B6A"/>
    <w:rsid w:val="007610BC"/>
    <w:rsid w:val="00765A4C"/>
    <w:rsid w:val="007714AB"/>
    <w:rsid w:val="00772CB1"/>
    <w:rsid w:val="00781ED6"/>
    <w:rsid w:val="00782453"/>
    <w:rsid w:val="007B0121"/>
    <w:rsid w:val="007D1E76"/>
    <w:rsid w:val="007D4484"/>
    <w:rsid w:val="007E38A2"/>
    <w:rsid w:val="007F699D"/>
    <w:rsid w:val="00806269"/>
    <w:rsid w:val="00837374"/>
    <w:rsid w:val="00852565"/>
    <w:rsid w:val="0086420E"/>
    <w:rsid w:val="0086459F"/>
    <w:rsid w:val="008C3BB8"/>
    <w:rsid w:val="008E076C"/>
    <w:rsid w:val="008E6268"/>
    <w:rsid w:val="0092765C"/>
    <w:rsid w:val="00967DDA"/>
    <w:rsid w:val="009736CB"/>
    <w:rsid w:val="00995882"/>
    <w:rsid w:val="009A70CB"/>
    <w:rsid w:val="009B27E0"/>
    <w:rsid w:val="009F3A65"/>
    <w:rsid w:val="00A33DCA"/>
    <w:rsid w:val="00A4610E"/>
    <w:rsid w:val="00A6346D"/>
    <w:rsid w:val="00A730E0"/>
    <w:rsid w:val="00AA2768"/>
    <w:rsid w:val="00AA41E5"/>
    <w:rsid w:val="00AB722B"/>
    <w:rsid w:val="00AE1F6A"/>
    <w:rsid w:val="00AF4375"/>
    <w:rsid w:val="00B073DE"/>
    <w:rsid w:val="00B27F13"/>
    <w:rsid w:val="00B6368B"/>
    <w:rsid w:val="00B75CF4"/>
    <w:rsid w:val="00BA53FE"/>
    <w:rsid w:val="00BE02EB"/>
    <w:rsid w:val="00BF5046"/>
    <w:rsid w:val="00C4250B"/>
    <w:rsid w:val="00C4625D"/>
    <w:rsid w:val="00C50946"/>
    <w:rsid w:val="00C54C12"/>
    <w:rsid w:val="00C93C67"/>
    <w:rsid w:val="00C97E1E"/>
    <w:rsid w:val="00CA30AC"/>
    <w:rsid w:val="00CB0F4E"/>
    <w:rsid w:val="00CB41C4"/>
    <w:rsid w:val="00CC3917"/>
    <w:rsid w:val="00CC692F"/>
    <w:rsid w:val="00CF1316"/>
    <w:rsid w:val="00D13C44"/>
    <w:rsid w:val="00D27BE8"/>
    <w:rsid w:val="00D32331"/>
    <w:rsid w:val="00D40FC2"/>
    <w:rsid w:val="00D47571"/>
    <w:rsid w:val="00D5018E"/>
    <w:rsid w:val="00D546B2"/>
    <w:rsid w:val="00D75307"/>
    <w:rsid w:val="00D91F2F"/>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B2659"/>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6879</Words>
  <Characters>37838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44628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5</cp:revision>
  <cp:lastPrinted>2025-01-29T20:05:00Z</cp:lastPrinted>
  <dcterms:created xsi:type="dcterms:W3CDTF">2025-01-29T17:19:00Z</dcterms:created>
  <dcterms:modified xsi:type="dcterms:W3CDTF">2025-01-29T20:11:00Z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