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1E2879" w:rsidRDefault="001B79A8" w:rsidP="001E2879">
      <w:pPr>
        <w:spacing w:after="0" w:line="240" w:lineRule="auto"/>
        <w:jc w:val="center"/>
        <w:rPr>
          <w:rFonts w:ascii="Trebuchet MS" w:hAnsi="Trebuchet MS"/>
          <w:sz w:val="20"/>
          <w:szCs w:val="20"/>
        </w:rPr>
      </w:pPr>
      <w:r>
        <w:fldChar w:fldCharType="begin"/>
      </w:r>
      <w:r>
        <w:instrText xml:space="preserve"> HYPERLINK "file:///\\\\ofsfileserver12\\..\\..\\lquiroz\\AppData\\Local\\Microsoft\\Windows\\Temporary%20Internet%20Files\\Content.Outlook\\HBGSO9P3\\MODELO%20CTA%202013.pptx" </w:instrText>
      </w:r>
      <w:r>
        <w:fldChar w:fldCharType="separate"/>
      </w:r>
      <w:r w:rsidR="005B2A02" w:rsidRPr="00E74967">
        <w:rPr>
          <w:rStyle w:val="Hipervnculo"/>
          <w:rFonts w:cs="Calibri"/>
          <w:b/>
          <w:sz w:val="28"/>
          <w:szCs w:val="28"/>
        </w:rPr>
        <w:t>NOTAS DE GESTIÓN ADMINISTRATIVA</w:t>
      </w:r>
      <w:r>
        <w:rPr>
          <w:rStyle w:val="Hipervnculo"/>
          <w:rFonts w:cs="Calibri"/>
          <w:b/>
          <w:sz w:val="28"/>
          <w:szCs w:val="28"/>
        </w:rPr>
        <w:fldChar w:fldCharType="end"/>
      </w:r>
    </w:p>
    <w:p w:rsidR="001E2879" w:rsidRDefault="001E2879"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Los Estados Financieros de los entes públicos, proveen de información financiera a los principales usuarios de la misma, al Congreso y a los ciudadanos.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5B2A02" w:rsidRPr="008878FA" w:rsidRDefault="005B2A02" w:rsidP="005B2A02">
      <w:pPr>
        <w:pStyle w:val="Prrafodelista"/>
        <w:spacing w:after="0" w:line="240" w:lineRule="auto"/>
        <w:jc w:val="both"/>
        <w:rPr>
          <w:rFonts w:ascii="Trebuchet MS" w:hAnsi="Trebuchet MS"/>
          <w:sz w:val="20"/>
          <w:szCs w:val="20"/>
        </w:rPr>
      </w:pPr>
    </w:p>
    <w:p w:rsidR="005B2A02" w:rsidRPr="008878FA" w:rsidRDefault="005B2A02" w:rsidP="005B2A02">
      <w:pPr>
        <w:pStyle w:val="Prrafodelista"/>
        <w:numPr>
          <w:ilvl w:val="0"/>
          <w:numId w:val="1"/>
        </w:numPr>
        <w:spacing w:after="0" w:line="240" w:lineRule="auto"/>
        <w:jc w:val="both"/>
        <w:rPr>
          <w:rFonts w:ascii="Trebuchet MS" w:hAnsi="Trebuchet MS"/>
          <w:sz w:val="20"/>
          <w:szCs w:val="20"/>
        </w:rPr>
      </w:pPr>
      <w:r w:rsidRPr="008878FA">
        <w:rPr>
          <w:rFonts w:ascii="Trebuchet MS" w:hAnsi="Trebuchet MS"/>
          <w:sz w:val="20"/>
          <w:szCs w:val="20"/>
        </w:rPr>
        <w:t>Las notas de gestión administrativa deben contener los siguientes puntos: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1. Introducción:</w:t>
      </w:r>
      <w:r w:rsidRPr="008878FA">
        <w:rPr>
          <w:rFonts w:ascii="Trebuchet MS" w:hAnsi="Trebuchet MS"/>
          <w:sz w:val="20"/>
          <w:szCs w:val="20"/>
        </w:rPr>
        <w:tab/>
      </w:r>
    </w:p>
    <w:p w:rsidR="005B2A02" w:rsidRPr="008878FA" w:rsidRDefault="005B2A02" w:rsidP="005B2A02">
      <w:pPr>
        <w:spacing w:after="0" w:line="240" w:lineRule="auto"/>
        <w:jc w:val="both"/>
        <w:rPr>
          <w:rFonts w:ascii="Trebuchet MS" w:hAnsi="Trebuchet MS"/>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 lo largo de su historia, la Universidad de Guanajuato se ha caracterizado por su evolución constante. En su extenso devenir de más de 275 años, la Institución ha pasado de ser Hospicio de la Santísima Trinidad, en 1766, a Colegio de la Purísima Concepción en 1796, y Colegio de la Purísima en 1827 para transformarse en el Colegio del Estado de Guanajuato en 1870 y en Universidad de Guanajuato en 1945. Ya como universidad pública estatal logró en 1994 el reconocimiento de su autonomía y con ello su capacidad para autogobernarse, con lo que propició una intensa vida colegiada en la toma de decisiones académicas en aras del cumplimiento de su misión. A partir de ese momento se asumió la necesidad de una reforma estructural de la organización académica, que permitiera a nuestra Casa de Estudios ampliar su cobertura; incrementar su oferta educativa; atender con mayo pertinencia y equidad a las regiones del Estado, así como la consolidación de sus programas y servicios educativos, al ejercer integralmente sus funciones sustantivas con una mayor presencia social. En apoyo a esa convicción, en el Plan de Desarrollo Institucional 2002-2010 se enfatizó la necesidad de modificar el modelo organización académica. Atendiendo a estas circunstancias, en 2005 se retomó el proceso de reforma universitaria, culminando con la publicación de la nueva Ley Orgánica de la Universidad de Guanajuato, el 15 junio 2007. Esta nueva Ley Orgánica representa la culminación del esfuerzo universitario actual, encaminado a propiciar mejores condiciones para la planeación y gestión de las funciones sustantivas de la Universidad de Guanajuato, tomando en consideración las necesidades regionales en cuanto a crecimiento y desarrollo de la cobertura educativa con calidad, equidad y pertinencia, establece como necesidad fundamental para lograr su aplicación el diseño de un Estatuto Orgánico. Dicho documento, es el instrumento normativo que regulará los lineamientos bajo los cuales se organizará nuestra Casa de Estudios a fin de desarrollar adecuadamente sus funciones sustantivas y la proyección de su sistema educativo. A fin de garantizar una dinámica deliberativa con equidad y solidez en toma de decisiones, en la conformación de los órganos académicos colegiados se mantiene una representación paritaria entre profesores y alumnos.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2. Describir el panorama Económico y Financiero:</w:t>
      </w:r>
    </w:p>
    <w:p w:rsidR="005B2A02" w:rsidRPr="008878FA" w:rsidRDefault="005B2A02" w:rsidP="005B2A02">
      <w:pPr>
        <w:spacing w:after="0" w:line="240" w:lineRule="auto"/>
        <w:jc w:val="both"/>
        <w:rPr>
          <w:rFonts w:ascii="Trebuchet MS" w:hAnsi="Trebuchet MS"/>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de Guanajuato obtiene sus recursos financieros de las siguientes fuentes de financiamiento: a) Los ingresos propios.- provenientes de servicios educacionales, de los ingresos por servicios que generan las diversas entidades y dependencias de manera directa y de los productos del patrimonio b) Los subsidios.- constituidos por los subsidios de naturaleza ordinaria y extraordinaria que aportan los gobiernos federal y estatal, y por subsidio para el desarrollo que se obtiene a través de convenios específicos suscritos con la Secretaría de Educación  Pública (SEP) el Consejo Nacional de Ciencia y Tecnología (</w:t>
      </w:r>
      <w:proofErr w:type="spellStart"/>
      <w:r w:rsidRPr="00115509">
        <w:rPr>
          <w:rFonts w:ascii="Trebuchet MS" w:hAnsi="Trebuchet MS" w:cs="Arial"/>
          <w:sz w:val="20"/>
          <w:szCs w:val="20"/>
        </w:rPr>
        <w:t>CONACyT</w:t>
      </w:r>
      <w:proofErr w:type="spellEnd"/>
      <w:r w:rsidRPr="00115509">
        <w:rPr>
          <w:rFonts w:ascii="Trebuchet MS" w:hAnsi="Trebuchet MS" w:cs="Arial"/>
          <w:sz w:val="20"/>
          <w:szCs w:val="20"/>
        </w:rPr>
        <w:t>), el Consejo de Ciencia y Tecnología del Estado de Guanajuato (</w:t>
      </w:r>
      <w:proofErr w:type="spellStart"/>
      <w:r w:rsidRPr="00115509">
        <w:rPr>
          <w:rFonts w:ascii="Trebuchet MS" w:hAnsi="Trebuchet MS" w:cs="Arial"/>
          <w:sz w:val="20"/>
          <w:szCs w:val="20"/>
        </w:rPr>
        <w:t>CONCyTEG</w:t>
      </w:r>
      <w:proofErr w:type="spellEnd"/>
      <w:r w:rsidRPr="00115509">
        <w:rPr>
          <w:rFonts w:ascii="Trebuchet MS" w:hAnsi="Trebuchet MS" w:cs="Arial"/>
          <w:sz w:val="20"/>
          <w:szCs w:val="20"/>
        </w:rPr>
        <w:t>) y otros organismos públicos o privados. Todas estas fuentes de recursos permiten el funcionamiento operativo de la Universidad y favorecen su crecimiento y desarrollo. La Institución concentra su esfuerzo hacia funciones sustantivas: Docencia, Investigación y Extensión. Lo anterior se refleja el establecimiento de metas académicas y administrativas para llevar a la Universidad a la mejora continua. Se buscan los esfuerzos necesarios para las fuentes alternas de financiamiento que aseguren a la Institución el logro de los objetivos académicos y de impacto social, ya que es ésta una forma pertinente de mejorar el beneficio social que genera la Universidad al incrementar los recursos para ampliar su función educadora.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3. Autorización e Historia: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Fecha de creación del ente.</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En 1945 como Universidad de Guanajuato.</w:t>
      </w:r>
    </w:p>
    <w:p w:rsidR="005B2A02" w:rsidRDefault="005B2A02" w:rsidP="005B2A02">
      <w:pPr>
        <w:spacing w:after="0" w:line="240" w:lineRule="auto"/>
        <w:jc w:val="both"/>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Principales cambios en su estructura (interna históricamente).</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La Institución obtiene su Autonomía, la cual se formaliza según la Ley Orgánica aprobada por el H. Consejo Universitario el 14 de febrero de  1994, y Creada por decreto número 279, emitido por la LV Legislatura Constitucional del Estado de Guanajuato, publicado en el Periódico Oficial del Gobierno del Estado de Guanajuato número 39 el 17 de mayo de 1994.</w:t>
      </w:r>
    </w:p>
    <w:p w:rsidR="005B2A02" w:rsidRDefault="005B2A02" w:rsidP="005B2A02">
      <w:pPr>
        <w:numPr>
          <w:ilvl w:val="0"/>
          <w:numId w:val="2"/>
        </w:numPr>
        <w:jc w:val="both"/>
        <w:rPr>
          <w:rFonts w:ascii="Trebuchet MS" w:hAnsi="Trebuchet MS" w:cs="Arial"/>
          <w:sz w:val="20"/>
          <w:szCs w:val="20"/>
        </w:rPr>
      </w:pPr>
      <w:r w:rsidRPr="00115509">
        <w:rPr>
          <w:rFonts w:ascii="Trebuchet MS" w:hAnsi="Trebuchet MS" w:cs="Arial"/>
          <w:sz w:val="20"/>
          <w:szCs w:val="20"/>
        </w:rPr>
        <w:t xml:space="preserve">En el año 2007, sufre cambios a una estructura </w:t>
      </w:r>
      <w:proofErr w:type="spellStart"/>
      <w:r w:rsidRPr="00115509">
        <w:rPr>
          <w:rFonts w:ascii="Trebuchet MS" w:hAnsi="Trebuchet MS" w:cs="Arial"/>
          <w:sz w:val="20"/>
          <w:szCs w:val="20"/>
        </w:rPr>
        <w:t>multicampus</w:t>
      </w:r>
      <w:proofErr w:type="spellEnd"/>
      <w:r w:rsidRPr="00115509">
        <w:rPr>
          <w:rFonts w:ascii="Trebuchet MS" w:hAnsi="Trebuchet MS" w:cs="Arial"/>
          <w:sz w:val="20"/>
          <w:szCs w:val="20"/>
        </w:rPr>
        <w:t>, según su nueva Ley Orgánica aprobada por el H. Consejo Universitario en sesión extraordinaria del 16 de mayo de 2006.  Creada por decreto número 71, emitido por la LX Legislatura Constitucional del Estado de Guanajuato, publicado en el Periódico Oficial del Gobierno del Estado de Guanajuato número 96, en fecha 15 de junio del 2007.</w:t>
      </w:r>
    </w:p>
    <w:p w:rsidR="005B2A02" w:rsidRDefault="001B79A8" w:rsidP="005B2A02">
      <w:pPr>
        <w:numPr>
          <w:ilvl w:val="0"/>
          <w:numId w:val="2"/>
        </w:numPr>
        <w:jc w:val="both"/>
        <w:rPr>
          <w:rFonts w:ascii="Trebuchet MS" w:hAnsi="Trebuchet MS" w:cs="Arial"/>
          <w:sz w:val="20"/>
          <w:szCs w:val="20"/>
        </w:rPr>
      </w:pPr>
      <w:hyperlink r:id="rId8" w:history="1">
        <w:r w:rsidR="005B2A02" w:rsidRPr="007F069A">
          <w:rPr>
            <w:rStyle w:val="Hipervnculo"/>
            <w:rFonts w:ascii="Trebuchet MS" w:hAnsi="Trebuchet MS" w:cs="Arial"/>
            <w:sz w:val="20"/>
            <w:szCs w:val="20"/>
          </w:rPr>
          <w:t>http://www.ugto.mx/images/pdf/normatividad/ley-organica-universidad-guanajuato.pdf</w:t>
        </w:r>
      </w:hyperlink>
    </w:p>
    <w:p w:rsidR="005B2A02" w:rsidRPr="00115509" w:rsidRDefault="005B2A02" w:rsidP="005B2A02">
      <w:pPr>
        <w:ind w:left="720"/>
        <w:jc w:val="both"/>
        <w:rPr>
          <w:rFonts w:ascii="Trebuchet MS" w:hAnsi="Trebuchet MS" w:cs="Arial"/>
          <w:sz w:val="20"/>
          <w:szCs w:val="20"/>
        </w:rPr>
      </w:pPr>
    </w:p>
    <w:p w:rsidR="005B2A02" w:rsidRPr="00115509" w:rsidRDefault="005B2A02" w:rsidP="005B2A02">
      <w:pPr>
        <w:ind w:left="720"/>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Pr>
          <w:rFonts w:ascii="Trebuchet MS" w:hAnsi="Trebuchet MS"/>
          <w:b/>
          <w:sz w:val="20"/>
          <w:szCs w:val="20"/>
        </w:rPr>
        <w:br w:type="page"/>
      </w:r>
      <w:r w:rsidRPr="008878FA">
        <w:rPr>
          <w:rFonts w:ascii="Trebuchet MS" w:hAnsi="Trebuchet MS"/>
          <w:b/>
          <w:sz w:val="20"/>
          <w:szCs w:val="20"/>
        </w:rPr>
        <w:lastRenderedPageBreak/>
        <w:t>4. Organización y Objeto Social:</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Objeto social.</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24600" cy="74295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4600" cy="742950"/>
                    </a:xfrm>
                    <a:prstGeom prst="rect">
                      <a:avLst/>
                    </a:prstGeom>
                    <a:noFill/>
                    <a:ln>
                      <a:noFill/>
                    </a:ln>
                  </pic:spPr>
                </pic:pic>
              </a:graphicData>
            </a:graphic>
          </wp:inline>
        </w:drawing>
      </w:r>
    </w:p>
    <w:p w:rsidR="005B2A02" w:rsidRDefault="005B2A02" w:rsidP="005B2A02">
      <w:pPr>
        <w:spacing w:after="0" w:line="240" w:lineRule="auto"/>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Principal actividad.</w:t>
      </w: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24600" cy="1952625"/>
            <wp:effectExtent l="0" t="0" r="0"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4600" cy="1952625"/>
                    </a:xfrm>
                    <a:prstGeom prst="rect">
                      <a:avLst/>
                    </a:prstGeom>
                    <a:noFill/>
                    <a:ln>
                      <a:noFill/>
                    </a:ln>
                  </pic:spPr>
                </pic:pic>
              </a:graphicData>
            </a:graphic>
          </wp:inline>
        </w:drawing>
      </w:r>
    </w:p>
    <w:p w:rsidR="005B2A02" w:rsidRDefault="005B2A02" w:rsidP="005B2A02">
      <w:pPr>
        <w:spacing w:after="0" w:line="240" w:lineRule="auto"/>
        <w:jc w:val="both"/>
        <w:rPr>
          <w:rFonts w:ascii="Trebuchet MS" w:hAnsi="Trebuchet MS" w:cs="Arial"/>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Pr>
          <w:rFonts w:ascii="Trebuchet MS" w:hAnsi="Trebuchet MS"/>
          <w:sz w:val="20"/>
          <w:szCs w:val="20"/>
        </w:rPr>
        <w:t xml:space="preserve"> Ejercicio fiscal </w:t>
      </w:r>
    </w:p>
    <w:p w:rsidR="005B2A02" w:rsidRDefault="005B2A02" w:rsidP="005B2A02">
      <w:pPr>
        <w:spacing w:after="0" w:line="240" w:lineRule="auto"/>
        <w:jc w:val="both"/>
        <w:rPr>
          <w:rFonts w:ascii="Trebuchet MS" w:hAnsi="Trebuchet MS"/>
          <w:sz w:val="20"/>
          <w:szCs w:val="20"/>
        </w:rPr>
      </w:pPr>
    </w:p>
    <w:p w:rsidR="005B2A02" w:rsidRPr="008878FA" w:rsidRDefault="005B2A02" w:rsidP="005B2A02">
      <w:pPr>
        <w:numPr>
          <w:ilvl w:val="0"/>
          <w:numId w:val="3"/>
        </w:numPr>
        <w:spacing w:after="0" w:line="240" w:lineRule="auto"/>
        <w:jc w:val="both"/>
        <w:rPr>
          <w:rFonts w:ascii="Trebuchet MS" w:hAnsi="Trebuchet MS"/>
          <w:sz w:val="20"/>
          <w:szCs w:val="20"/>
        </w:rPr>
      </w:pPr>
      <w:r>
        <w:rPr>
          <w:rFonts w:ascii="Trebuchet MS" w:hAnsi="Trebuchet MS"/>
          <w:sz w:val="20"/>
          <w:szCs w:val="20"/>
        </w:rPr>
        <w:t>Enero – Diciembre 2016</w:t>
      </w:r>
    </w:p>
    <w:p w:rsidR="005B2A02" w:rsidRPr="008878FA" w:rsidRDefault="005B2A02" w:rsidP="005B2A02">
      <w:pPr>
        <w:spacing w:after="0" w:line="240" w:lineRule="auto"/>
        <w:jc w:val="both"/>
        <w:rPr>
          <w:rFonts w:ascii="Trebuchet MS" w:hAnsi="Trebuchet MS"/>
          <w:sz w:val="20"/>
          <w:szCs w:val="20"/>
        </w:rPr>
      </w:pPr>
    </w:p>
    <w:p w:rsidR="005B2A02" w:rsidRPr="00B62355"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Régimen jurídico </w:t>
      </w:r>
    </w:p>
    <w:p w:rsidR="005B2A02" w:rsidRDefault="005B2A02" w:rsidP="005B2A02">
      <w:pPr>
        <w:jc w:val="both"/>
        <w:rPr>
          <w:rFonts w:ascii="Trebuchet MS" w:hAnsi="Trebuchet MS" w:cs="Arial"/>
          <w:sz w:val="20"/>
          <w:szCs w:val="20"/>
        </w:rPr>
      </w:pPr>
    </w:p>
    <w:p w:rsidR="005B2A02" w:rsidRPr="00115509"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Organismo Público Autónomo</w:t>
      </w:r>
    </w:p>
    <w:p w:rsidR="005B2A02" w:rsidRPr="008878FA" w:rsidRDefault="005B2A02" w:rsidP="005B2A02">
      <w:pPr>
        <w:spacing w:after="0" w:line="240" w:lineRule="auto"/>
        <w:jc w:val="both"/>
        <w:rPr>
          <w:rFonts w:ascii="Trebuchet MS" w:hAnsi="Trebuchet MS"/>
          <w:sz w:val="20"/>
          <w:szCs w:val="20"/>
        </w:rPr>
      </w:pPr>
    </w:p>
    <w:p w:rsidR="005B2A02" w:rsidRPr="005A2DC1"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Consideraciones fiscales del ente: revelar el tipo de contribuciones que esté obligado a pagar o retener.</w:t>
      </w:r>
    </w:p>
    <w:p w:rsidR="005B2A02"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La Universidad de Guanajuato se encuentra inscrita </w:t>
      </w:r>
      <w:r>
        <w:rPr>
          <w:rFonts w:ascii="Trebuchet MS" w:hAnsi="Trebuchet MS" w:cs="Arial"/>
          <w:sz w:val="20"/>
          <w:szCs w:val="20"/>
        </w:rPr>
        <w:t xml:space="preserve">ante la Secretaría de Hacienda y Crédito Público </w:t>
      </w:r>
      <w:r w:rsidRPr="00115509">
        <w:rPr>
          <w:rFonts w:ascii="Trebuchet MS" w:hAnsi="Trebuchet MS" w:cs="Arial"/>
          <w:sz w:val="20"/>
          <w:szCs w:val="20"/>
        </w:rPr>
        <w:t>como Persona Moral con Fines no lucrativos y con Registro Federal de Contribuyente (RFC) UGU 450325 KY2</w:t>
      </w:r>
      <w:r>
        <w:rPr>
          <w:rFonts w:ascii="Trebuchet MS" w:hAnsi="Trebuchet MS" w:cs="Arial"/>
          <w:sz w:val="20"/>
          <w:szCs w:val="20"/>
        </w:rPr>
        <w:t>,</w:t>
      </w:r>
      <w:r w:rsidRPr="00115509">
        <w:rPr>
          <w:rFonts w:ascii="Trebuchet MS" w:hAnsi="Trebuchet MS" w:cs="Arial"/>
          <w:sz w:val="20"/>
          <w:szCs w:val="20"/>
        </w:rPr>
        <w:t xml:space="preserve"> domicilio fiscal en </w:t>
      </w:r>
      <w:proofErr w:type="spellStart"/>
      <w:r w:rsidRPr="00115509">
        <w:rPr>
          <w:rFonts w:ascii="Trebuchet MS" w:hAnsi="Trebuchet MS" w:cs="Arial"/>
          <w:sz w:val="20"/>
          <w:szCs w:val="20"/>
        </w:rPr>
        <w:t>Lascurain</w:t>
      </w:r>
      <w:proofErr w:type="spellEnd"/>
      <w:r w:rsidRPr="00115509">
        <w:rPr>
          <w:rFonts w:ascii="Trebuchet MS" w:hAnsi="Trebuchet MS" w:cs="Arial"/>
          <w:sz w:val="20"/>
          <w:szCs w:val="20"/>
        </w:rPr>
        <w:t xml:space="preserve"> de Retana #5 Zona Centro, Código Postal 36000, la Institución tiene registradas las siguiente actividades económicas: </w:t>
      </w:r>
      <w:r w:rsidRPr="00764592">
        <w:rPr>
          <w:rFonts w:ascii="Trebuchet MS" w:hAnsi="Trebuchet MS" w:cs="Arial"/>
          <w:i/>
          <w:sz w:val="20"/>
          <w:szCs w:val="20"/>
        </w:rPr>
        <w:t>“Escuelas de educación superior pertenecientes al sector público y otros servicios profesionales, científicos y técnicos”</w:t>
      </w:r>
      <w:r w:rsidRPr="00115509">
        <w:rPr>
          <w:rFonts w:ascii="Trebuchet MS" w:hAnsi="Trebuchet MS" w:cs="Arial"/>
          <w:sz w:val="20"/>
          <w:szCs w:val="20"/>
        </w:rPr>
        <w:t xml:space="preserve">. </w:t>
      </w:r>
    </w:p>
    <w:p w:rsidR="005B2A02" w:rsidRDefault="005B2A02" w:rsidP="005B2A02">
      <w:pPr>
        <w:numPr>
          <w:ilvl w:val="0"/>
          <w:numId w:val="3"/>
        </w:numPr>
        <w:jc w:val="both"/>
        <w:rPr>
          <w:rFonts w:ascii="Trebuchet MS" w:hAnsi="Trebuchet MS" w:cs="Arial"/>
          <w:sz w:val="20"/>
          <w:szCs w:val="20"/>
        </w:rPr>
      </w:pPr>
      <w:r w:rsidRPr="00115509">
        <w:rPr>
          <w:rFonts w:ascii="Trebuchet MS" w:hAnsi="Trebuchet MS" w:cs="Arial"/>
          <w:sz w:val="20"/>
          <w:szCs w:val="20"/>
        </w:rPr>
        <w:t xml:space="preserve">Esta Casa de Estudios tiene como obligaciones fiscales las siguientes: </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1) Presentar la declaración y pago provisional mensual de retenciones de Impuesto sobre la Renta por sueldos y salarios, </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2) Presentar la declaración y pago provisional mensual por las retenciones realizadas a los trabajadores asimilados a salarios, </w:t>
      </w:r>
      <w:r>
        <w:rPr>
          <w:rFonts w:ascii="Trebuchet MS" w:hAnsi="Trebuchet MS" w:cs="Arial"/>
          <w:sz w:val="20"/>
          <w:szCs w:val="20"/>
        </w:rPr>
        <w:t>arrendamiento y honorarios profesionales.</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lastRenderedPageBreak/>
        <w:t>3) Presentar la declaración anual de Impuesto sobre la Renta donde informen sobre los pagos y retenciones de servicios pr</w:t>
      </w:r>
      <w:r>
        <w:rPr>
          <w:rFonts w:ascii="Trebuchet MS" w:hAnsi="Trebuchet MS" w:cs="Arial"/>
          <w:sz w:val="20"/>
          <w:szCs w:val="20"/>
        </w:rPr>
        <w:t>ofesionales (personas morales) y arrendamiento.</w:t>
      </w:r>
    </w:p>
    <w:p w:rsidR="005B2A02" w:rsidRDefault="005B2A02" w:rsidP="005B2A02">
      <w:pPr>
        <w:ind w:left="720"/>
        <w:jc w:val="both"/>
        <w:rPr>
          <w:rFonts w:ascii="Trebuchet MS" w:hAnsi="Trebuchet MS" w:cs="Arial"/>
          <w:sz w:val="20"/>
          <w:szCs w:val="20"/>
        </w:rPr>
      </w:pPr>
      <w:r w:rsidRPr="00115509">
        <w:rPr>
          <w:rFonts w:ascii="Trebuchet MS" w:hAnsi="Trebuchet MS" w:cs="Arial"/>
          <w:sz w:val="20"/>
          <w:szCs w:val="20"/>
        </w:rPr>
        <w:t>4) Presentar la declaración anual donde se informe sobre las retenciones de los trabajadores que recibieron sueldos y salarios y trab</w:t>
      </w:r>
      <w:r>
        <w:rPr>
          <w:rFonts w:ascii="Trebuchet MS" w:hAnsi="Trebuchet MS" w:cs="Arial"/>
          <w:sz w:val="20"/>
          <w:szCs w:val="20"/>
        </w:rPr>
        <w:t>ajadores asimilados a salarios</w:t>
      </w:r>
    </w:p>
    <w:p w:rsidR="005B2A02" w:rsidRPr="00115509" w:rsidRDefault="005B2A02" w:rsidP="005B2A02">
      <w:pPr>
        <w:ind w:left="720"/>
        <w:jc w:val="both"/>
        <w:rPr>
          <w:rFonts w:ascii="Trebuchet MS" w:hAnsi="Trebuchet MS" w:cs="Arial"/>
          <w:sz w:val="20"/>
          <w:szCs w:val="20"/>
        </w:rPr>
      </w:pPr>
      <w:r w:rsidRPr="00115509">
        <w:rPr>
          <w:rFonts w:ascii="Trebuchet MS" w:hAnsi="Trebuchet MS" w:cs="Arial"/>
          <w:sz w:val="20"/>
          <w:szCs w:val="20"/>
        </w:rPr>
        <w:t xml:space="preserve">5) Presentar la declaración </w:t>
      </w:r>
      <w:r>
        <w:rPr>
          <w:rFonts w:ascii="Trebuchet MS" w:hAnsi="Trebuchet MS" w:cs="Arial"/>
          <w:sz w:val="20"/>
          <w:szCs w:val="20"/>
        </w:rPr>
        <w:t>informativa de operaciones con terceros de manera mensual</w:t>
      </w:r>
      <w:r w:rsidRPr="00115509">
        <w:rPr>
          <w:rFonts w:ascii="Trebuchet MS" w:hAnsi="Trebuchet MS" w:cs="Arial"/>
          <w:sz w:val="20"/>
          <w:szCs w:val="20"/>
        </w:rPr>
        <w:t>.</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Estructura organizacional básica.</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cs="Arial"/>
          <w:sz w:val="20"/>
          <w:szCs w:val="20"/>
        </w:rPr>
      </w:pPr>
      <w:r w:rsidRPr="007D3787">
        <w:rPr>
          <w:rFonts w:ascii="Trebuchet MS" w:hAnsi="Trebuchet MS" w:cs="Arial"/>
          <w:noProof/>
          <w:sz w:val="20"/>
          <w:szCs w:val="20"/>
          <w:lang w:eastAsia="es-MX"/>
        </w:rPr>
        <w:drawing>
          <wp:inline distT="0" distB="0" distL="0" distR="0">
            <wp:extent cx="6334125" cy="31623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4125" cy="3162300"/>
                    </a:xfrm>
                    <a:prstGeom prst="rect">
                      <a:avLst/>
                    </a:prstGeom>
                    <a:noFill/>
                    <a:ln>
                      <a:noFill/>
                    </a:ln>
                  </pic:spPr>
                </pic:pic>
              </a:graphicData>
            </a:graphic>
          </wp:inline>
        </w:drawing>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Fideicomisos, mandatos y análogos de los cuales es fideicomitente o fiduciario.</w:t>
      </w:r>
    </w:p>
    <w:p w:rsidR="005B2A02" w:rsidRDefault="005B2A02" w:rsidP="005B2A02">
      <w:pPr>
        <w:jc w:val="both"/>
        <w:rPr>
          <w:rFonts w:ascii="Trebuchet MS" w:hAnsi="Trebuchet MS" w:cs="Arial"/>
          <w:sz w:val="20"/>
          <w:szCs w:val="20"/>
        </w:rPr>
      </w:pP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Los fideicomisos que a continuación se mencionan no cuentan con personalidad jurídica ni patrimonio propio por lo que forman parte de la misma contabilidad de la Universidad participando como fideicomitente.</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Seguro contra accidentes</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Becas</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PIFI</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PROMEP</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FAM</w:t>
      </w:r>
    </w:p>
    <w:p w:rsidR="005B2A02" w:rsidRPr="00115509" w:rsidRDefault="005B2A02" w:rsidP="005B2A02">
      <w:pPr>
        <w:numPr>
          <w:ilvl w:val="0"/>
          <w:numId w:val="4"/>
        </w:numPr>
        <w:jc w:val="both"/>
        <w:rPr>
          <w:rFonts w:ascii="Trebuchet MS" w:hAnsi="Trebuchet MS" w:cs="Arial"/>
          <w:sz w:val="20"/>
          <w:szCs w:val="20"/>
        </w:rPr>
      </w:pPr>
      <w:r w:rsidRPr="00115509">
        <w:rPr>
          <w:rFonts w:ascii="Trebuchet MS" w:hAnsi="Trebuchet MS" w:cs="Arial"/>
          <w:sz w:val="20"/>
          <w:szCs w:val="20"/>
        </w:rPr>
        <w:t>Jubilaciones y Pensiones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5. Bases de Preparación de los Estados Financieros:</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Si se ha observado la normatividad emitida por el CONAC y las disposiciones legales aplicables.</w:t>
      </w:r>
    </w:p>
    <w:p w:rsidR="005B2A02" w:rsidRPr="005A2DC1" w:rsidRDefault="005B2A02" w:rsidP="005B2A02">
      <w:pPr>
        <w:spacing w:after="0" w:line="240" w:lineRule="auto"/>
        <w:jc w:val="both"/>
        <w:rPr>
          <w:rFonts w:ascii="Trebuchet MS" w:hAnsi="Trebuchet MS"/>
          <w:sz w:val="20"/>
          <w:szCs w:val="20"/>
        </w:rPr>
      </w:pP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Sí, se han revisado los documentos normativos relacionados con los Estados Financieros (Normas y Metodología para la emisión de información financiera y estructura de los estados financieros básicos del ente público y características de sus notas)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5B2A02" w:rsidRDefault="005B2A02" w:rsidP="005B2A02">
      <w:pPr>
        <w:spacing w:after="0" w:line="240" w:lineRule="auto"/>
        <w:jc w:val="both"/>
        <w:rPr>
          <w:rFonts w:ascii="Trebuchet MS" w:hAnsi="Trebuchet MS"/>
          <w:sz w:val="20"/>
          <w:szCs w:val="20"/>
        </w:rPr>
      </w:pP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Al conocer los documentos de CONAC se comprende lo antes mencionado. (Principales reglas de registro y valoración del patrimonio, así como las reglas específicas del registro y valoración del patrimonio)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Postulados básicos.</w:t>
      </w:r>
    </w:p>
    <w:p w:rsidR="005B2A02" w:rsidRDefault="005B2A02" w:rsidP="005B2A02">
      <w:pPr>
        <w:jc w:val="both"/>
        <w:rPr>
          <w:rFonts w:ascii="Trebuchet MS" w:hAnsi="Trebuchet MS" w:cs="Arial"/>
          <w:sz w:val="20"/>
          <w:szCs w:val="20"/>
        </w:rPr>
      </w:pPr>
    </w:p>
    <w:p w:rsidR="005B2A02" w:rsidRPr="00817BF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Se conoce el documento de postulados básicos.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5B2A02" w:rsidRDefault="005B2A02" w:rsidP="005B2A02">
      <w:pPr>
        <w:jc w:val="both"/>
        <w:rPr>
          <w:rFonts w:ascii="Trebuchet MS" w:hAnsi="Trebuchet MS" w:cs="Arial"/>
          <w:sz w:val="20"/>
          <w:szCs w:val="20"/>
        </w:rPr>
      </w:pPr>
    </w:p>
    <w:p w:rsidR="005B2A02" w:rsidRPr="00817BF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No se aplicó ninguna norma supletoria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Para las entidades que por primera vez estén implementando la base devengado de acuerdo a la Ley de Contabilidad, deberán: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*Revelar las nuevas políticas de reconocimiento:</w:t>
      </w: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Ingresos: se registra cuando jurídicamente se tiene el derecho de cobro de los servicios prestados por la Universidad.</w:t>
      </w:r>
    </w:p>
    <w:p w:rsidR="005B2A02" w:rsidRPr="00115509" w:rsidRDefault="005B2A02" w:rsidP="005B2A02">
      <w:pPr>
        <w:numPr>
          <w:ilvl w:val="0"/>
          <w:numId w:val="5"/>
        </w:numPr>
        <w:jc w:val="both"/>
        <w:rPr>
          <w:rFonts w:ascii="Trebuchet MS" w:hAnsi="Trebuchet MS" w:cs="Arial"/>
          <w:sz w:val="20"/>
          <w:szCs w:val="20"/>
        </w:rPr>
      </w:pPr>
      <w:r w:rsidRPr="00115509">
        <w:rPr>
          <w:rFonts w:ascii="Trebuchet MS" w:hAnsi="Trebuchet MS" w:cs="Arial"/>
          <w:sz w:val="20"/>
          <w:szCs w:val="20"/>
        </w:rPr>
        <w:t>Egresos: se registra cuando se reconoce la obligación de pagos a favor de terceros.</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*Plan de implementa</w:t>
      </w:r>
      <w:r>
        <w:rPr>
          <w:rFonts w:ascii="Trebuchet MS" w:hAnsi="Trebuchet MS"/>
          <w:sz w:val="20"/>
          <w:szCs w:val="20"/>
        </w:rPr>
        <w:t>ción:</w:t>
      </w:r>
    </w:p>
    <w:p w:rsidR="005B2A02" w:rsidRPr="0068265D" w:rsidRDefault="005B2A02" w:rsidP="005B2A02">
      <w:pPr>
        <w:spacing w:after="0" w:line="240" w:lineRule="auto"/>
        <w:jc w:val="both"/>
        <w:rPr>
          <w:rFonts w:ascii="Trebuchet MS" w:hAnsi="Trebuchet MS"/>
          <w:sz w:val="20"/>
          <w:szCs w:val="20"/>
        </w:rPr>
      </w:pPr>
    </w:p>
    <w:p w:rsidR="005B2A02" w:rsidRDefault="005B2A02" w:rsidP="005B2A02">
      <w:pPr>
        <w:numPr>
          <w:ilvl w:val="0"/>
          <w:numId w:val="6"/>
        </w:numPr>
        <w:jc w:val="both"/>
        <w:rPr>
          <w:rFonts w:ascii="Trebuchet MS" w:hAnsi="Trebuchet MS" w:cs="Arial"/>
          <w:sz w:val="20"/>
          <w:szCs w:val="20"/>
        </w:rPr>
      </w:pPr>
      <w:r>
        <w:rPr>
          <w:rFonts w:ascii="Trebuchet MS" w:hAnsi="Trebuchet MS" w:cs="Arial"/>
          <w:sz w:val="20"/>
          <w:szCs w:val="20"/>
        </w:rPr>
        <w:t>Actualmente la Universidad está implementando el sistema ERP (</w:t>
      </w:r>
      <w:r>
        <w:rPr>
          <w:rFonts w:ascii="Arial" w:hAnsi="Arial" w:cs="Arial"/>
          <w:i/>
          <w:iCs/>
          <w:color w:val="252525"/>
          <w:sz w:val="21"/>
          <w:szCs w:val="21"/>
          <w:shd w:val="clear" w:color="auto" w:fill="FFFFFF"/>
        </w:rPr>
        <w:t xml:space="preserve">Enterprise </w:t>
      </w:r>
      <w:proofErr w:type="spellStart"/>
      <w:r>
        <w:rPr>
          <w:rFonts w:ascii="Arial" w:hAnsi="Arial" w:cs="Arial"/>
          <w:i/>
          <w:iCs/>
          <w:color w:val="252525"/>
          <w:sz w:val="21"/>
          <w:szCs w:val="21"/>
          <w:shd w:val="clear" w:color="auto" w:fill="FFFFFF"/>
        </w:rPr>
        <w:t>Resource</w:t>
      </w:r>
      <w:proofErr w:type="spellEnd"/>
      <w:r>
        <w:rPr>
          <w:rFonts w:ascii="Arial" w:hAnsi="Arial" w:cs="Arial"/>
          <w:i/>
          <w:iCs/>
          <w:color w:val="252525"/>
          <w:sz w:val="21"/>
          <w:szCs w:val="21"/>
          <w:shd w:val="clear" w:color="auto" w:fill="FFFFFF"/>
        </w:rPr>
        <w:t xml:space="preserve"> </w:t>
      </w:r>
      <w:proofErr w:type="spellStart"/>
      <w:r>
        <w:rPr>
          <w:rFonts w:ascii="Arial" w:hAnsi="Arial" w:cs="Arial"/>
          <w:i/>
          <w:iCs/>
          <w:color w:val="252525"/>
          <w:sz w:val="21"/>
          <w:szCs w:val="21"/>
          <w:shd w:val="clear" w:color="auto" w:fill="FFFFFF"/>
        </w:rPr>
        <w:t>Planning</w:t>
      </w:r>
      <w:proofErr w:type="spellEnd"/>
      <w:r>
        <w:rPr>
          <w:rFonts w:ascii="Arial" w:hAnsi="Arial" w:cs="Arial"/>
          <w:i/>
          <w:iCs/>
          <w:color w:val="252525"/>
          <w:sz w:val="21"/>
          <w:szCs w:val="21"/>
          <w:shd w:val="clear" w:color="auto" w:fill="FFFFFF"/>
        </w:rPr>
        <w:t>)</w:t>
      </w:r>
      <w:r>
        <w:rPr>
          <w:rFonts w:ascii="Trebuchet MS" w:hAnsi="Trebuchet MS" w:cs="Arial"/>
          <w:sz w:val="20"/>
          <w:szCs w:val="20"/>
        </w:rPr>
        <w:t xml:space="preserve"> denominado SAP (</w:t>
      </w:r>
      <w:proofErr w:type="spellStart"/>
      <w:r>
        <w:rPr>
          <w:rFonts w:ascii="Trebuchet MS" w:hAnsi="Trebuchet MS" w:cs="Arial"/>
          <w:sz w:val="20"/>
          <w:szCs w:val="20"/>
        </w:rPr>
        <w:t>Systeme</w:t>
      </w:r>
      <w:proofErr w:type="spellEnd"/>
      <w:r>
        <w:rPr>
          <w:rFonts w:ascii="Trebuchet MS" w:hAnsi="Trebuchet MS" w:cs="Arial"/>
          <w:sz w:val="20"/>
          <w:szCs w:val="20"/>
        </w:rPr>
        <w:t xml:space="preserve">, </w:t>
      </w:r>
      <w:proofErr w:type="spellStart"/>
      <w:r>
        <w:rPr>
          <w:rFonts w:ascii="Trebuchet MS" w:hAnsi="Trebuchet MS" w:cs="Arial"/>
          <w:sz w:val="20"/>
          <w:szCs w:val="20"/>
        </w:rPr>
        <w:t>Anwendungen</w:t>
      </w:r>
      <w:proofErr w:type="spellEnd"/>
      <w:r>
        <w:rPr>
          <w:rFonts w:ascii="Trebuchet MS" w:hAnsi="Trebuchet MS" w:cs="Arial"/>
          <w:sz w:val="20"/>
          <w:szCs w:val="20"/>
        </w:rPr>
        <w:t xml:space="preserve"> </w:t>
      </w:r>
      <w:proofErr w:type="spellStart"/>
      <w:r>
        <w:rPr>
          <w:rFonts w:ascii="Trebuchet MS" w:hAnsi="Trebuchet MS" w:cs="Arial"/>
          <w:sz w:val="20"/>
          <w:szCs w:val="20"/>
        </w:rPr>
        <w:t>und</w:t>
      </w:r>
      <w:proofErr w:type="spellEnd"/>
      <w:r>
        <w:rPr>
          <w:rFonts w:ascii="Trebuchet MS" w:hAnsi="Trebuchet MS" w:cs="Arial"/>
          <w:sz w:val="20"/>
          <w:szCs w:val="20"/>
        </w:rPr>
        <w:t xml:space="preserve"> </w:t>
      </w:r>
      <w:proofErr w:type="spellStart"/>
      <w:r>
        <w:rPr>
          <w:rFonts w:ascii="Trebuchet MS" w:hAnsi="Trebuchet MS" w:cs="Arial"/>
          <w:sz w:val="20"/>
          <w:szCs w:val="20"/>
        </w:rPr>
        <w:t>Produkte</w:t>
      </w:r>
      <w:proofErr w:type="spellEnd"/>
      <w:r>
        <w:rPr>
          <w:rFonts w:ascii="Trebuchet MS" w:hAnsi="Trebuchet MS" w:cs="Arial"/>
          <w:sz w:val="20"/>
          <w:szCs w:val="20"/>
        </w:rPr>
        <w:t>) para mejorar y optimizar diversos procesos integrando y consolidando la información proveniente de distintas operaciones.</w:t>
      </w:r>
    </w:p>
    <w:p w:rsidR="005B2A02" w:rsidRPr="0068265D" w:rsidRDefault="005B2A02" w:rsidP="005B2A02">
      <w:pPr>
        <w:spacing w:after="0" w:line="240" w:lineRule="auto"/>
        <w:jc w:val="both"/>
        <w:rPr>
          <w:rFonts w:ascii="Trebuchet MS" w:hAnsi="Trebuchet MS"/>
          <w:sz w:val="20"/>
          <w:szCs w:val="20"/>
        </w:rPr>
      </w:pPr>
      <w:r>
        <w:rPr>
          <w:rFonts w:ascii="Trebuchet MS" w:hAnsi="Trebuchet MS"/>
          <w:sz w:val="20"/>
          <w:szCs w:val="20"/>
        </w:rPr>
        <w:br w:type="page"/>
      </w:r>
      <w:r w:rsidRPr="008878FA">
        <w:rPr>
          <w:rFonts w:ascii="Trebuchet MS" w:hAnsi="Trebuchet MS"/>
          <w:sz w:val="20"/>
          <w:szCs w:val="20"/>
        </w:rPr>
        <w:lastRenderedPageBreak/>
        <w:t>*Revelar los cambios en las políticas, la clasificación y medición de las mismas, así como su impact</w:t>
      </w:r>
      <w:r>
        <w:rPr>
          <w:rFonts w:ascii="Trebuchet MS" w:hAnsi="Trebuchet MS"/>
          <w:sz w:val="20"/>
          <w:szCs w:val="20"/>
        </w:rPr>
        <w:t>o en la información financiera:</w:t>
      </w:r>
    </w:p>
    <w:p w:rsidR="005B2A02" w:rsidRPr="00115509" w:rsidRDefault="005B2A02" w:rsidP="005B2A02">
      <w:pPr>
        <w:numPr>
          <w:ilvl w:val="0"/>
          <w:numId w:val="6"/>
        </w:numPr>
        <w:jc w:val="both"/>
        <w:rPr>
          <w:rFonts w:ascii="Trebuchet MS" w:hAnsi="Trebuchet MS" w:cs="Arial"/>
          <w:sz w:val="20"/>
          <w:szCs w:val="20"/>
        </w:rPr>
      </w:pPr>
      <w:r w:rsidRPr="00115509">
        <w:rPr>
          <w:rFonts w:ascii="Trebuchet MS" w:hAnsi="Trebuchet MS" w:cs="Arial"/>
          <w:sz w:val="20"/>
          <w:szCs w:val="20"/>
        </w:rPr>
        <w:t xml:space="preserve">Se realizaron ajustes al sistema contable y presupuestal, </w:t>
      </w:r>
      <w:r>
        <w:rPr>
          <w:rFonts w:ascii="Trebuchet MS" w:hAnsi="Trebuchet MS" w:cs="Arial"/>
          <w:sz w:val="20"/>
          <w:szCs w:val="20"/>
        </w:rPr>
        <w:t>que permitan cumplir con las</w:t>
      </w:r>
      <w:r w:rsidRPr="00115509">
        <w:rPr>
          <w:rFonts w:ascii="Trebuchet MS" w:hAnsi="Trebuchet MS" w:cs="Arial"/>
          <w:sz w:val="20"/>
          <w:szCs w:val="20"/>
        </w:rPr>
        <w:t xml:space="preserve"> políticas que establece la Ley General de Contabilidad Gubernamental.</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6. Políticas de Contabilidad Significativas: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sobre: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Actualización: se informará del método utilizado para la actualización del valor de los activos, pasivos y Hacienda Pública y/o patrimonio y las razones de dicha elección. Así como informar de la desconexión o reconexión inflacionaria:</w:t>
      </w:r>
    </w:p>
    <w:p w:rsidR="005B2A02" w:rsidRPr="008878FA" w:rsidRDefault="005B2A02" w:rsidP="005B2A02">
      <w:pPr>
        <w:spacing w:after="0" w:line="240" w:lineRule="auto"/>
        <w:jc w:val="both"/>
        <w:rPr>
          <w:rFonts w:ascii="Trebuchet MS" w:hAnsi="Trebuchet MS"/>
          <w:sz w:val="20"/>
          <w:szCs w:val="20"/>
        </w:rPr>
      </w:pPr>
      <w:r>
        <w:rPr>
          <w:rFonts w:ascii="Trebuchet MS" w:hAnsi="Trebuchet MS"/>
          <w:sz w:val="20"/>
          <w:szCs w:val="20"/>
        </w:rPr>
        <w:t xml:space="preserve">La Universidad actualizó el valor del activo no circulante en particular los bienes inmuebles mediante actuario. </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Informar sobre la realización de operaciones en el extranjero y de sus efectos en la información financiera gubernamental:</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de Guanajuato no cuenta con operaciones en el extranjero.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Método de valuación de la inversión en acciones de Compañías subsidiarias no consolidadas y asociadas: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reconoce la inversión mediante el método de participación e incremento o decremento en acciones considerando la última información financiera reportada por las entidades en donde participa como inversionista.</w:t>
      </w:r>
      <w:r>
        <w:rPr>
          <w:rFonts w:ascii="Trebuchet MS" w:hAnsi="Trebuchet MS" w:cs="Arial"/>
          <w:sz w:val="20"/>
          <w:szCs w:val="20"/>
        </w:rPr>
        <w:t xml:space="preserve"> </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Sistema y método de valuación de inventarios y costo de lo vendido:</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Los inventarios que se presentan en el estado de situación financiera son valuados a costos promedios.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Beneficios a empleados: revelar el cálculo de la reserva actuarial, valor presente de los ingresos esperados comparado con el valor presente de la estimación de gastos tanto de los beneficiarios actuales como futuros:</w:t>
      </w:r>
    </w:p>
    <w:p w:rsidR="005B2A02" w:rsidRDefault="005B2A02" w:rsidP="005B2A02">
      <w:pPr>
        <w:tabs>
          <w:tab w:val="num" w:pos="1701"/>
        </w:tabs>
        <w:jc w:val="both"/>
        <w:rPr>
          <w:rFonts w:ascii="Trebuchet MS" w:hAnsi="Trebuchet MS" w:cs="Arial"/>
          <w:sz w:val="20"/>
          <w:szCs w:val="20"/>
        </w:rPr>
      </w:pP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Primas de antigüedad - De conformidad con el contrato colectivo de trabajo, esta prima se pagará mensualmente a partir de que el empleado cumpla cinco años de servicio. Para el personal académico la prima consiste en un 2% adicional al sueldo por año trabajado hasta llegar al 60% y para el personal administrativo la prima será de 1.5% adicional al sueldo por año trabajado hasta llegar al 50%. Las erogaciones por primas de antigüedad se registran en los egresos del ejercicio en que se pagan.</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Primas de separación - De conformidad con los contratos colectivos en vigor, al momento de separarse voluntariamente o por despido, a los empleados se les paga una prima de separación, la cual fluctúa entre doce y veinte días del último salario devengado por año trabajado, dependiendo de la antigüedad del empleado, las cuales se registran en los egresos del año en que se pagan.</w:t>
      </w:r>
    </w:p>
    <w:p w:rsidR="005B2A02" w:rsidRPr="00115509" w:rsidRDefault="005B2A02" w:rsidP="005B2A02">
      <w:pPr>
        <w:tabs>
          <w:tab w:val="num" w:pos="1276"/>
        </w:tabs>
        <w:jc w:val="both"/>
        <w:rPr>
          <w:rFonts w:ascii="Trebuchet MS" w:hAnsi="Trebuchet MS" w:cs="Arial"/>
          <w:sz w:val="20"/>
          <w:szCs w:val="20"/>
        </w:rPr>
      </w:pPr>
      <w:r w:rsidRPr="00115509">
        <w:rPr>
          <w:rFonts w:ascii="Trebuchet MS" w:hAnsi="Trebuchet MS" w:cs="Arial"/>
          <w:sz w:val="20"/>
          <w:szCs w:val="20"/>
        </w:rPr>
        <w:t>Indemnizaciones al personal - De conformidad con la Ley Federal del Trabajo, los trabajadores tienen derecho a una indemnización en caso de despido injustificado, las erogaciones por este concepto se registran en los egresos del año en que se pagan.</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Remuneraciones y prestaciones a jubilados y pensionados - De conformidad con la Ley de Seguridad Social del Estado de Guanajuato, para cuya observancia se constituyó el Instituto de Seguridad Social del Estado de Guanajuato (“ISSEG”), los asegurados que</w:t>
      </w:r>
      <w:r>
        <w:rPr>
          <w:rFonts w:ascii="Trebuchet MS" w:hAnsi="Trebuchet MS" w:cs="Arial"/>
          <w:sz w:val="20"/>
          <w:szCs w:val="20"/>
        </w:rPr>
        <w:t xml:space="preserve"> hayan ingresado antes del 31 de julio 2003 y</w:t>
      </w:r>
      <w:r w:rsidRPr="00115509">
        <w:rPr>
          <w:rFonts w:ascii="Trebuchet MS" w:hAnsi="Trebuchet MS" w:cs="Arial"/>
          <w:sz w:val="20"/>
          <w:szCs w:val="20"/>
        </w:rPr>
        <w:t xml:space="preserve"> habiendo cumplido </w:t>
      </w:r>
      <w:r w:rsidRPr="00115509">
        <w:rPr>
          <w:rFonts w:ascii="Trebuchet MS" w:hAnsi="Trebuchet MS" w:cs="Arial"/>
          <w:sz w:val="20"/>
          <w:szCs w:val="20"/>
        </w:rPr>
        <w:lastRenderedPageBreak/>
        <w:t>55 años de edad y que hubieran cotizado cuando menos durante quince años</w:t>
      </w:r>
      <w:r>
        <w:rPr>
          <w:rFonts w:ascii="Trebuchet MS" w:hAnsi="Trebuchet MS" w:cs="Arial"/>
          <w:sz w:val="20"/>
          <w:szCs w:val="20"/>
        </w:rPr>
        <w:t>; con la nueva Ley entrada en vigor el primero de enero 2014 los asegurados que hayan cumplido 60 años de edad y que tenga acreditado un mínimo de 15 años tendrán derecho a</w:t>
      </w:r>
      <w:r w:rsidRPr="00115509">
        <w:rPr>
          <w:rFonts w:ascii="Trebuchet MS" w:hAnsi="Trebuchet MS" w:cs="Arial"/>
          <w:sz w:val="20"/>
          <w:szCs w:val="20"/>
        </w:rPr>
        <w:t xml:space="preserve"> una pensión por vejez</w:t>
      </w:r>
      <w:r>
        <w:rPr>
          <w:rFonts w:ascii="Trebuchet MS" w:hAnsi="Trebuchet MS" w:cs="Arial"/>
          <w:sz w:val="20"/>
          <w:szCs w:val="20"/>
        </w:rPr>
        <w:t xml:space="preserve"> y que aumentará un año por cada dos hasta llegar al límite de 65 años</w:t>
      </w:r>
      <w:r w:rsidRPr="00115509">
        <w:rPr>
          <w:rFonts w:ascii="Trebuchet MS" w:hAnsi="Trebuchet MS" w:cs="Arial"/>
          <w:sz w:val="20"/>
          <w:szCs w:val="20"/>
        </w:rPr>
        <w:t>. Asi</w:t>
      </w:r>
      <w:r>
        <w:rPr>
          <w:rFonts w:ascii="Trebuchet MS" w:hAnsi="Trebuchet MS" w:cs="Arial"/>
          <w:sz w:val="20"/>
          <w:szCs w:val="20"/>
        </w:rPr>
        <w:t>mismo, después de cotizar cinco</w:t>
      </w:r>
      <w:r w:rsidRPr="00115509">
        <w:rPr>
          <w:rFonts w:ascii="Trebuchet MS" w:hAnsi="Trebuchet MS" w:cs="Arial"/>
          <w:sz w:val="20"/>
          <w:szCs w:val="20"/>
        </w:rPr>
        <w:t xml:space="preserve"> años se tendrá derecho a pensión por invalidez o muerte.</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pensión se calcula aplicando al sueldo normal base promedio percibido en el año inmediato anterior una tabla de porcentajes que van del 50% al 95%, dependiendo de los años cotizados.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Asimismo, tienen derecho al 100% del sueldo normal base promedio, como pensión por retiro, los asegurados que hayan cumplido 30 años de servicio cotizados al ISSEG.</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De los importes determinados conforme a los párrafos anteriores, el ISSEG paga el 70%</w:t>
      </w:r>
      <w:r>
        <w:rPr>
          <w:rFonts w:ascii="Trebuchet MS" w:hAnsi="Trebuchet MS" w:cs="Arial"/>
          <w:sz w:val="20"/>
          <w:szCs w:val="20"/>
        </w:rPr>
        <w:t xml:space="preserve"> del salario base (sueldo nominal)</w:t>
      </w:r>
      <w:r w:rsidRPr="00115509">
        <w:rPr>
          <w:rFonts w:ascii="Trebuchet MS" w:hAnsi="Trebuchet MS" w:cs="Arial"/>
          <w:sz w:val="20"/>
          <w:szCs w:val="20"/>
        </w:rPr>
        <w:t xml:space="preserve"> en virtud de que es el porcentaje con el que se cotiza y la Universidad </w:t>
      </w:r>
      <w:r>
        <w:rPr>
          <w:rFonts w:ascii="Trebuchet MS" w:hAnsi="Trebuchet MS" w:cs="Arial"/>
          <w:sz w:val="20"/>
          <w:szCs w:val="20"/>
        </w:rPr>
        <w:t>realiza un complemento de pensión para igualar las percepciones de un trabajador en activo.</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Adicionalmente, los pensionados disfrutarán de servic</w:t>
      </w:r>
      <w:r>
        <w:rPr>
          <w:rFonts w:ascii="Trebuchet MS" w:hAnsi="Trebuchet MS" w:cs="Arial"/>
          <w:sz w:val="20"/>
          <w:szCs w:val="20"/>
        </w:rPr>
        <w:t>io médico y</w:t>
      </w:r>
      <w:r w:rsidRPr="00115509">
        <w:rPr>
          <w:rFonts w:ascii="Trebuchet MS" w:hAnsi="Trebuchet MS" w:cs="Arial"/>
          <w:sz w:val="20"/>
          <w:szCs w:val="20"/>
        </w:rPr>
        <w:t xml:space="preserve"> ayuda de despensas a cargo de la Universidad, que será cubierto junto con las aportaciones quincenales.</w:t>
      </w:r>
    </w:p>
    <w:p w:rsidR="005B2A02" w:rsidRPr="00115509" w:rsidRDefault="005B2A02" w:rsidP="005B2A02">
      <w:pPr>
        <w:tabs>
          <w:tab w:val="num" w:pos="1701"/>
        </w:tabs>
        <w:jc w:val="both"/>
        <w:rPr>
          <w:rFonts w:ascii="Trebuchet MS" w:hAnsi="Trebuchet MS" w:cs="Arial"/>
          <w:sz w:val="20"/>
          <w:szCs w:val="20"/>
        </w:rPr>
      </w:pPr>
      <w:r w:rsidRPr="00115509">
        <w:rPr>
          <w:rFonts w:ascii="Trebuchet MS" w:hAnsi="Trebuchet MS" w:cs="Arial"/>
          <w:sz w:val="20"/>
          <w:szCs w:val="20"/>
        </w:rPr>
        <w:t>Reserva de jubilaciones y pensiones - Se constituye con el 2% de los sueldos nominales y se efectúa el traspaso al fideicomiso de inversión creado en febrero de 1999 con el Banco Nacional de México, S</w:t>
      </w:r>
      <w:r>
        <w:rPr>
          <w:rFonts w:ascii="Trebuchet MS" w:hAnsi="Trebuchet MS" w:cs="Arial"/>
          <w:sz w:val="20"/>
          <w:szCs w:val="20"/>
        </w:rPr>
        <w:t>.A. hasta septiembre 2008.</w:t>
      </w:r>
    </w:p>
    <w:p w:rsidR="005B2A02" w:rsidRPr="008878FA" w:rsidRDefault="005B2A02" w:rsidP="005B2A02">
      <w:pPr>
        <w:spacing w:after="0" w:line="240" w:lineRule="auto"/>
        <w:jc w:val="both"/>
        <w:rPr>
          <w:rFonts w:ascii="Trebuchet MS" w:hAnsi="Trebuchet MS"/>
          <w:sz w:val="20"/>
          <w:szCs w:val="20"/>
        </w:rPr>
      </w:pPr>
    </w:p>
    <w:p w:rsidR="005B2A02" w:rsidRPr="00993663" w:rsidRDefault="005B2A02" w:rsidP="005B2A02">
      <w:pPr>
        <w:tabs>
          <w:tab w:val="num" w:pos="1701"/>
        </w:tabs>
        <w:jc w:val="both"/>
        <w:rPr>
          <w:rFonts w:ascii="Trebuchet MS" w:hAnsi="Trebuchet MS" w:cs="Arial"/>
          <w:sz w:val="20"/>
          <w:szCs w:val="20"/>
        </w:rPr>
      </w:pPr>
      <w:r w:rsidRPr="00993663">
        <w:rPr>
          <w:rFonts w:ascii="Trebuchet MS" w:hAnsi="Trebuchet MS" w:cs="Arial"/>
          <w:sz w:val="20"/>
          <w:szCs w:val="20"/>
        </w:rPr>
        <w:t xml:space="preserve">f) Provisiones: </w:t>
      </w:r>
    </w:p>
    <w:p w:rsidR="005B2A02" w:rsidRPr="00993663" w:rsidRDefault="005B2A02" w:rsidP="005B2A02">
      <w:pPr>
        <w:tabs>
          <w:tab w:val="num" w:pos="1701"/>
        </w:tabs>
        <w:jc w:val="both"/>
        <w:rPr>
          <w:rFonts w:ascii="Trebuchet MS" w:hAnsi="Trebuchet MS" w:cs="Arial"/>
          <w:sz w:val="20"/>
          <w:szCs w:val="20"/>
        </w:rPr>
      </w:pPr>
      <w:r w:rsidRPr="00993663">
        <w:rPr>
          <w:rFonts w:ascii="Trebuchet MS" w:hAnsi="Trebuchet MS" w:cs="Arial"/>
          <w:sz w:val="20"/>
          <w:szCs w:val="20"/>
        </w:rPr>
        <w:t>El objeto se avocó a la atención y seguimiento del asunto de expediente 7/2006 del índice del Juzgado de Partido Segundo de lo Civil son sede en la ciudad de Guanajuato capital, mismo que tuviera su origen en la demanda impetrada por el C. Carlos Alberto Guevara Hernández, en contra de la Universidad de Guanajuato, reclamándole el pago de diversas sumas de dinero, con motivo del adeudo derivado de la construcción del edificio denominado Complejo Deportivo Nieto Piña.</w:t>
      </w:r>
    </w:p>
    <w:p w:rsidR="005B2A02" w:rsidRDefault="005B2A02" w:rsidP="005B2A02">
      <w:pPr>
        <w:tabs>
          <w:tab w:val="left" w:pos="1134"/>
          <w:tab w:val="left" w:pos="6379"/>
          <w:tab w:val="right" w:pos="7655"/>
          <w:tab w:val="left" w:pos="8080"/>
          <w:tab w:val="right" w:pos="9356"/>
        </w:tabs>
        <w:spacing w:after="0"/>
        <w:rPr>
          <w:rFonts w:ascii="Trebuchet MS" w:hAnsi="Trebuchet MS"/>
          <w:b/>
          <w:sz w:val="20"/>
          <w:szCs w:val="20"/>
        </w:rPr>
      </w:pPr>
    </w:p>
    <w:p w:rsidR="005B2A02" w:rsidRDefault="005B2A02" w:rsidP="005B2A02">
      <w:pPr>
        <w:tabs>
          <w:tab w:val="left" w:pos="1134"/>
          <w:tab w:val="left" w:pos="6379"/>
          <w:tab w:val="right" w:pos="7655"/>
          <w:tab w:val="left" w:pos="8080"/>
          <w:tab w:val="right" w:pos="9356"/>
        </w:tabs>
        <w:spacing w:after="0"/>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Reservas: </w:t>
      </w:r>
    </w:p>
    <w:p w:rsidR="005B2A02" w:rsidRDefault="005B2A02" w:rsidP="005B2A02">
      <w:pPr>
        <w:autoSpaceDE w:val="0"/>
        <w:autoSpaceDN w:val="0"/>
        <w:adjustRightInd w:val="0"/>
        <w:spacing w:after="0" w:line="240" w:lineRule="auto"/>
        <w:jc w:val="both"/>
        <w:rPr>
          <w:rFonts w:ascii="Trebuchet MS" w:hAnsi="Trebuchet MS"/>
          <w:sz w:val="20"/>
          <w:szCs w:val="20"/>
        </w:rPr>
      </w:pPr>
      <w:r>
        <w:rPr>
          <w:rFonts w:ascii="Trebuchet MS" w:hAnsi="Trebuchet MS"/>
          <w:sz w:val="20"/>
          <w:szCs w:val="20"/>
        </w:rPr>
        <w:t xml:space="preserve">Actualmente la Universidad cuenta con los criterios para la determinación de cuentas incobrables dando cumplimiento </w:t>
      </w:r>
      <w:r w:rsidRPr="005263FF">
        <w:rPr>
          <w:rFonts w:ascii="Trebuchet MS" w:hAnsi="Trebuchet MS"/>
          <w:sz w:val="20"/>
          <w:szCs w:val="20"/>
        </w:rPr>
        <w:t>a lo establecid</w:t>
      </w:r>
      <w:r>
        <w:rPr>
          <w:rFonts w:ascii="Trebuchet MS" w:hAnsi="Trebuchet MS"/>
          <w:sz w:val="20"/>
          <w:szCs w:val="20"/>
        </w:rPr>
        <w:t xml:space="preserve">o en las Reglas Específicas del </w:t>
      </w:r>
      <w:r w:rsidRPr="005263FF">
        <w:rPr>
          <w:rFonts w:ascii="Trebuchet MS" w:hAnsi="Trebuchet MS"/>
          <w:sz w:val="20"/>
          <w:szCs w:val="20"/>
        </w:rPr>
        <w:t>Registro y Valoración del Activo y en virtud de que</w:t>
      </w:r>
      <w:r>
        <w:rPr>
          <w:rFonts w:ascii="Trebuchet MS" w:hAnsi="Trebuchet MS"/>
          <w:sz w:val="20"/>
          <w:szCs w:val="20"/>
        </w:rPr>
        <w:t xml:space="preserve"> no se encuentra definido en la </w:t>
      </w:r>
      <w:r w:rsidRPr="005263FF">
        <w:rPr>
          <w:rFonts w:ascii="Trebuchet MS" w:hAnsi="Trebuchet MS"/>
          <w:sz w:val="20"/>
          <w:szCs w:val="20"/>
        </w:rPr>
        <w:t>propia legislación quién ha de ser la autoridad co</w:t>
      </w:r>
      <w:r>
        <w:rPr>
          <w:rFonts w:ascii="Trebuchet MS" w:hAnsi="Trebuchet MS"/>
          <w:sz w:val="20"/>
          <w:szCs w:val="20"/>
        </w:rPr>
        <w:t xml:space="preserve">mpetente para ser aprobados los </w:t>
      </w:r>
      <w:r w:rsidRPr="005263FF">
        <w:rPr>
          <w:rFonts w:ascii="Trebuchet MS" w:hAnsi="Trebuchet MS"/>
          <w:sz w:val="20"/>
          <w:szCs w:val="20"/>
        </w:rPr>
        <w:t>criterios para la determinación de la estima</w:t>
      </w:r>
      <w:r>
        <w:rPr>
          <w:rFonts w:ascii="Trebuchet MS" w:hAnsi="Trebuchet MS"/>
          <w:sz w:val="20"/>
          <w:szCs w:val="20"/>
        </w:rPr>
        <w:t xml:space="preserve">ción de cuentas incobrables, el </w:t>
      </w:r>
      <w:r w:rsidRPr="005263FF">
        <w:rPr>
          <w:rFonts w:ascii="Trebuchet MS" w:hAnsi="Trebuchet MS"/>
          <w:sz w:val="20"/>
          <w:szCs w:val="20"/>
        </w:rPr>
        <w:t>Departamento de</w:t>
      </w:r>
      <w:r>
        <w:rPr>
          <w:rFonts w:ascii="Trebuchet MS" w:hAnsi="Trebuchet MS"/>
          <w:sz w:val="20"/>
          <w:szCs w:val="20"/>
        </w:rPr>
        <w:t xml:space="preserve"> </w:t>
      </w:r>
      <w:r w:rsidRPr="005263FF">
        <w:rPr>
          <w:rFonts w:ascii="Trebuchet MS" w:hAnsi="Trebuchet MS"/>
          <w:sz w:val="20"/>
          <w:szCs w:val="20"/>
        </w:rPr>
        <w:t>Consolidación Contable considera l</w:t>
      </w:r>
      <w:r>
        <w:rPr>
          <w:rFonts w:ascii="Trebuchet MS" w:hAnsi="Trebuchet MS"/>
          <w:sz w:val="20"/>
          <w:szCs w:val="20"/>
        </w:rPr>
        <w:t xml:space="preserve">os presentes criterios a seguir </w:t>
      </w:r>
      <w:r w:rsidRPr="005263FF">
        <w:rPr>
          <w:rFonts w:ascii="Trebuchet MS" w:hAnsi="Trebuchet MS"/>
          <w:sz w:val="20"/>
          <w:szCs w:val="20"/>
        </w:rPr>
        <w:t>en relac</w:t>
      </w:r>
      <w:r>
        <w:rPr>
          <w:rFonts w:ascii="Trebuchet MS" w:hAnsi="Trebuchet MS"/>
          <w:sz w:val="20"/>
          <w:szCs w:val="20"/>
        </w:rPr>
        <w:t xml:space="preserve">ión a los saldos de adeudos, es </w:t>
      </w:r>
      <w:r w:rsidRPr="005263FF">
        <w:rPr>
          <w:rFonts w:ascii="Trebuchet MS" w:hAnsi="Trebuchet MS"/>
          <w:sz w:val="20"/>
          <w:szCs w:val="20"/>
        </w:rPr>
        <w:t>decir, cuen</w:t>
      </w:r>
      <w:r>
        <w:rPr>
          <w:rFonts w:ascii="Trebuchet MS" w:hAnsi="Trebuchet MS"/>
          <w:sz w:val="20"/>
          <w:szCs w:val="20"/>
        </w:rPr>
        <w:t xml:space="preserve">tas por cobrar con la finalidad </w:t>
      </w:r>
      <w:r w:rsidRPr="005263FF">
        <w:rPr>
          <w:rFonts w:ascii="Trebuchet MS" w:hAnsi="Trebuchet MS"/>
          <w:sz w:val="20"/>
          <w:szCs w:val="20"/>
        </w:rPr>
        <w:t>de dar cumplimiento a los presentes criterios.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Cambios en políticas contables y corrección de errores junto con la revelación de los efectos que se tendrá en la información financiera del ente público, ya sea retrospectivos o prospectivos:</w:t>
      </w:r>
    </w:p>
    <w:p w:rsidR="005B2A02" w:rsidRPr="00712F5D" w:rsidRDefault="005B2A02" w:rsidP="005B2A02">
      <w:pPr>
        <w:numPr>
          <w:ilvl w:val="0"/>
          <w:numId w:val="6"/>
        </w:numPr>
        <w:jc w:val="both"/>
        <w:rPr>
          <w:rFonts w:ascii="Trebuchet MS" w:hAnsi="Trebuchet MS" w:cs="Arial"/>
          <w:sz w:val="20"/>
          <w:szCs w:val="20"/>
        </w:rPr>
      </w:pPr>
      <w:r w:rsidRPr="00115509">
        <w:rPr>
          <w:rFonts w:ascii="Trebuchet MS" w:hAnsi="Trebuchet MS" w:cs="Arial"/>
          <w:sz w:val="20"/>
          <w:szCs w:val="20"/>
        </w:rPr>
        <w:t>Registro de ingresos y egresos cambio a devengado de flujo de efectivo.</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i)</w:t>
      </w:r>
      <w:r w:rsidRPr="008878FA">
        <w:rPr>
          <w:rFonts w:ascii="Trebuchet MS" w:hAnsi="Trebuchet MS"/>
          <w:sz w:val="20"/>
          <w:szCs w:val="20"/>
        </w:rPr>
        <w:t xml:space="preserve"> Reclasificaciones: </w:t>
      </w:r>
    </w:p>
    <w:p w:rsidR="005B2A02" w:rsidRPr="00712F5D" w:rsidRDefault="005B2A02" w:rsidP="005B2A02">
      <w:pPr>
        <w:ind w:firstLine="708"/>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j)</w:t>
      </w:r>
      <w:r w:rsidRPr="008878FA">
        <w:rPr>
          <w:rFonts w:ascii="Trebuchet MS" w:hAnsi="Trebuchet MS"/>
          <w:sz w:val="20"/>
          <w:szCs w:val="20"/>
        </w:rPr>
        <w:t xml:space="preserve"> Depuración y cancelación de saldos:</w:t>
      </w:r>
    </w:p>
    <w:p w:rsidR="005B2A02" w:rsidRPr="00712F5D" w:rsidRDefault="005B2A02" w:rsidP="005B2A02">
      <w:pPr>
        <w:autoSpaceDE w:val="0"/>
        <w:autoSpaceDN w:val="0"/>
        <w:adjustRightInd w:val="0"/>
        <w:spacing w:after="0" w:line="240" w:lineRule="auto"/>
        <w:rPr>
          <w:rFonts w:ascii="Trebuchet MS" w:hAnsi="Trebuchet MS"/>
          <w:sz w:val="20"/>
          <w:szCs w:val="20"/>
        </w:rPr>
      </w:pPr>
      <w:r>
        <w:rPr>
          <w:rFonts w:ascii="Trebuchet MS" w:hAnsi="Trebuchet MS"/>
          <w:sz w:val="20"/>
          <w:szCs w:val="20"/>
        </w:rPr>
        <w:t xml:space="preserve">La Universidad está llevando a cabo un análisis de todas las cuentas </w:t>
      </w:r>
      <w:r w:rsidRPr="00712F5D">
        <w:rPr>
          <w:rFonts w:ascii="Trebuchet MS" w:hAnsi="Trebuchet MS"/>
          <w:sz w:val="20"/>
          <w:szCs w:val="20"/>
        </w:rPr>
        <w:t xml:space="preserve">necesarias para el registro contable de las operaciones presupuestarias y contables, clasificadas en activo, pasivo y hacienda pública o patrimonio, y de </w:t>
      </w:r>
      <w:r>
        <w:rPr>
          <w:rFonts w:ascii="Trebuchet MS" w:hAnsi="Trebuchet MS"/>
          <w:sz w:val="20"/>
          <w:szCs w:val="20"/>
        </w:rPr>
        <w:t>resultados.</w:t>
      </w:r>
    </w:p>
    <w:p w:rsidR="005B2A02" w:rsidRDefault="005B2A02" w:rsidP="005B2A02">
      <w:pPr>
        <w:autoSpaceDE w:val="0"/>
        <w:autoSpaceDN w:val="0"/>
        <w:adjustRightInd w:val="0"/>
        <w:spacing w:after="0" w:line="240" w:lineRule="auto"/>
        <w:rPr>
          <w:rFonts w:ascii="Arial" w:hAnsi="Arial" w:cs="Arial"/>
          <w:sz w:val="18"/>
          <w:szCs w:val="18"/>
          <w:lang w:eastAsia="es-MX"/>
        </w:rPr>
      </w:pPr>
    </w:p>
    <w:p w:rsidR="005B2A02" w:rsidRDefault="005B2A02" w:rsidP="005B2A02">
      <w:pPr>
        <w:autoSpaceDE w:val="0"/>
        <w:autoSpaceDN w:val="0"/>
        <w:adjustRightInd w:val="0"/>
        <w:spacing w:after="0" w:line="240" w:lineRule="auto"/>
        <w:rPr>
          <w:rFonts w:ascii="Arial" w:hAnsi="Arial" w:cs="Arial"/>
          <w:sz w:val="18"/>
          <w:szCs w:val="18"/>
          <w:lang w:eastAsia="es-MX"/>
        </w:rPr>
      </w:pPr>
    </w:p>
    <w:p w:rsidR="005B2A02" w:rsidRPr="0033483D" w:rsidRDefault="005B2A02" w:rsidP="005B2A02">
      <w:pPr>
        <w:autoSpaceDE w:val="0"/>
        <w:autoSpaceDN w:val="0"/>
        <w:adjustRightInd w:val="0"/>
        <w:spacing w:after="0" w:line="240" w:lineRule="auto"/>
        <w:rPr>
          <w:rFonts w:ascii="Arial" w:hAnsi="Arial" w:cs="Arial"/>
          <w:sz w:val="18"/>
          <w:szCs w:val="18"/>
          <w:lang w:eastAsia="es-MX"/>
        </w:rPr>
      </w:pPr>
      <w:r w:rsidRPr="0033483D">
        <w:rPr>
          <w:rFonts w:ascii="Trebuchet MS" w:hAnsi="Trebuchet MS"/>
          <w:b/>
          <w:sz w:val="20"/>
          <w:szCs w:val="20"/>
        </w:rPr>
        <w:lastRenderedPageBreak/>
        <w:t>7. Posición en Moneda Extranjera y Protección por Riesgo Cambiario:</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sz w:val="20"/>
          <w:szCs w:val="20"/>
        </w:rPr>
        <w:t>Se informará sobre:</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a)</w:t>
      </w:r>
      <w:r w:rsidRPr="0033483D">
        <w:rPr>
          <w:rFonts w:ascii="Trebuchet MS" w:hAnsi="Trebuchet MS"/>
          <w:sz w:val="20"/>
          <w:szCs w:val="20"/>
        </w:rPr>
        <w:t xml:space="preserve"> Activos en moneda extranjera:</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tblGrid>
      <w:tr w:rsidR="005B2A02" w:rsidRPr="0033483D" w:rsidTr="00FD2855">
        <w:trPr>
          <w:jc w:val="center"/>
        </w:trPr>
        <w:tc>
          <w:tcPr>
            <w:tcW w:w="2219" w:type="dxa"/>
            <w:shd w:val="clear" w:color="auto" w:fill="auto"/>
          </w:tcPr>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Cuenta Contable</w:t>
            </w:r>
          </w:p>
        </w:tc>
        <w:tc>
          <w:tcPr>
            <w:tcW w:w="2151" w:type="dxa"/>
            <w:shd w:val="clear" w:color="auto" w:fill="auto"/>
          </w:tcPr>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Nombre</w:t>
            </w:r>
          </w:p>
        </w:tc>
      </w:tr>
      <w:tr w:rsidR="005B2A02" w:rsidRPr="0033483D" w:rsidTr="00FD2855">
        <w:trPr>
          <w:jc w:val="center"/>
        </w:trPr>
        <w:tc>
          <w:tcPr>
            <w:tcW w:w="2219" w:type="dxa"/>
            <w:shd w:val="clear" w:color="auto" w:fill="auto"/>
          </w:tcPr>
          <w:p w:rsidR="005B2A02" w:rsidRPr="0033483D" w:rsidRDefault="005B2A02" w:rsidP="00FD2855">
            <w:pPr>
              <w:jc w:val="both"/>
              <w:rPr>
                <w:rFonts w:ascii="Trebuchet MS" w:hAnsi="Trebuchet MS" w:cs="Arial"/>
                <w:sz w:val="20"/>
                <w:szCs w:val="20"/>
              </w:rPr>
            </w:pPr>
          </w:p>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111200000006000005</w:t>
            </w:r>
          </w:p>
        </w:tc>
        <w:tc>
          <w:tcPr>
            <w:tcW w:w="2151" w:type="dxa"/>
            <w:shd w:val="clear" w:color="auto" w:fill="auto"/>
          </w:tcPr>
          <w:p w:rsidR="005B2A02" w:rsidRPr="0033483D" w:rsidRDefault="005B2A02" w:rsidP="00FD2855">
            <w:pPr>
              <w:jc w:val="both"/>
              <w:rPr>
                <w:rFonts w:ascii="Trebuchet MS" w:hAnsi="Trebuchet MS" w:cs="Arial"/>
                <w:sz w:val="20"/>
                <w:szCs w:val="20"/>
              </w:rPr>
            </w:pPr>
          </w:p>
          <w:p w:rsidR="005B2A02" w:rsidRPr="0033483D" w:rsidRDefault="005B2A02" w:rsidP="00FD2855">
            <w:pPr>
              <w:jc w:val="both"/>
              <w:rPr>
                <w:rFonts w:ascii="Trebuchet MS" w:hAnsi="Trebuchet MS" w:cs="Arial"/>
                <w:sz w:val="20"/>
                <w:szCs w:val="20"/>
              </w:rPr>
            </w:pPr>
            <w:r w:rsidRPr="0033483D">
              <w:rPr>
                <w:rFonts w:ascii="Trebuchet MS" w:hAnsi="Trebuchet MS" w:cs="Arial"/>
                <w:sz w:val="20"/>
                <w:szCs w:val="20"/>
              </w:rPr>
              <w:t>Banorte 10362100-3</w:t>
            </w:r>
          </w:p>
        </w:tc>
      </w:tr>
    </w:tbl>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b)</w:t>
      </w:r>
      <w:r w:rsidRPr="0033483D">
        <w:rPr>
          <w:rFonts w:ascii="Trebuchet MS" w:hAnsi="Trebuchet MS"/>
          <w:sz w:val="20"/>
          <w:szCs w:val="20"/>
        </w:rPr>
        <w:t xml:space="preserve"> Pasivos en moneda extranjera:</w:t>
      </w:r>
    </w:p>
    <w:p w:rsidR="005B2A02" w:rsidRPr="0033483D" w:rsidRDefault="005B2A02" w:rsidP="005B2A02">
      <w:pPr>
        <w:jc w:val="both"/>
        <w:rPr>
          <w:rFonts w:ascii="Trebuchet MS" w:hAnsi="Trebuchet MS" w:cs="Arial"/>
          <w:sz w:val="20"/>
          <w:szCs w:val="20"/>
        </w:rPr>
      </w:pPr>
    </w:p>
    <w:p w:rsidR="005B2A02" w:rsidRPr="0033483D" w:rsidRDefault="005B2A02" w:rsidP="005B2A02">
      <w:pPr>
        <w:jc w:val="both"/>
        <w:rPr>
          <w:rFonts w:ascii="Trebuchet MS" w:hAnsi="Trebuchet MS" w:cs="Arial"/>
          <w:sz w:val="20"/>
          <w:szCs w:val="20"/>
        </w:rPr>
      </w:pPr>
      <w:r w:rsidRPr="0033483D">
        <w:rPr>
          <w:rFonts w:ascii="Trebuchet MS" w:hAnsi="Trebuchet MS" w:cs="Arial"/>
          <w:sz w:val="20"/>
          <w:szCs w:val="20"/>
        </w:rPr>
        <w:t>No aplica</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 xml:space="preserve">c) </w:t>
      </w:r>
      <w:r w:rsidRPr="0033483D">
        <w:rPr>
          <w:rFonts w:ascii="Trebuchet MS" w:hAnsi="Trebuchet MS"/>
          <w:sz w:val="20"/>
          <w:szCs w:val="20"/>
        </w:rPr>
        <w:t>Posición en moneda extranjera:</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219"/>
        <w:gridCol w:w="2151"/>
        <w:gridCol w:w="2022"/>
      </w:tblGrid>
      <w:tr w:rsidR="005B2A02" w:rsidRPr="00105803" w:rsidTr="00FD2855">
        <w:trPr>
          <w:jc w:val="center"/>
        </w:trPr>
        <w:tc>
          <w:tcPr>
            <w:tcW w:w="2219"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Cuenta Contable</w:t>
            </w:r>
          </w:p>
        </w:tc>
        <w:tc>
          <w:tcPr>
            <w:tcW w:w="2151"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Nombre</w:t>
            </w:r>
          </w:p>
        </w:tc>
        <w:tc>
          <w:tcPr>
            <w:tcW w:w="2022" w:type="dxa"/>
            <w:shd w:val="clear" w:color="auto" w:fill="FFFFFF"/>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Saldo en moneda extranjera</w:t>
            </w:r>
          </w:p>
        </w:tc>
      </w:tr>
      <w:tr w:rsidR="005B2A02" w:rsidRPr="0033483D" w:rsidTr="00FD2855">
        <w:trPr>
          <w:trHeight w:val="587"/>
          <w:jc w:val="center"/>
        </w:trPr>
        <w:tc>
          <w:tcPr>
            <w:tcW w:w="2219" w:type="dxa"/>
            <w:shd w:val="clear" w:color="auto" w:fill="FFFFFF"/>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111200000006000005</w:t>
            </w:r>
          </w:p>
        </w:tc>
        <w:tc>
          <w:tcPr>
            <w:tcW w:w="2151" w:type="dxa"/>
            <w:shd w:val="clear" w:color="auto" w:fill="FFFFFF"/>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Banorte 10362100-3</w:t>
            </w:r>
          </w:p>
        </w:tc>
        <w:tc>
          <w:tcPr>
            <w:tcW w:w="2022" w:type="dxa"/>
            <w:shd w:val="clear" w:color="auto" w:fill="FFFFFF"/>
          </w:tcPr>
          <w:p w:rsidR="005B2A02" w:rsidRPr="00105803" w:rsidRDefault="005B2A02" w:rsidP="00FD2855">
            <w:pPr>
              <w:jc w:val="right"/>
              <w:rPr>
                <w:rFonts w:ascii="Trebuchet MS" w:hAnsi="Trebuchet MS" w:cs="Arial"/>
                <w:b/>
                <w:sz w:val="20"/>
                <w:szCs w:val="20"/>
              </w:rPr>
            </w:pPr>
          </w:p>
          <w:p w:rsidR="005B2A02" w:rsidRPr="0033483D" w:rsidRDefault="005B2A02" w:rsidP="005B2A02">
            <w:pPr>
              <w:jc w:val="right"/>
              <w:rPr>
                <w:rFonts w:ascii="Trebuchet MS" w:hAnsi="Trebuchet MS" w:cs="Arial"/>
                <w:b/>
                <w:sz w:val="20"/>
                <w:szCs w:val="20"/>
              </w:rPr>
            </w:pPr>
            <w:r w:rsidRPr="00426F16">
              <w:rPr>
                <w:rFonts w:ascii="Trebuchet MS" w:hAnsi="Trebuchet MS" w:cs="Arial"/>
                <w:b/>
                <w:sz w:val="20"/>
                <w:szCs w:val="20"/>
              </w:rPr>
              <w:t xml:space="preserve">US </w:t>
            </w:r>
            <w:r w:rsidR="007C1FE3" w:rsidRPr="007C1FE3">
              <w:rPr>
                <w:rFonts w:ascii="Trebuchet MS" w:hAnsi="Trebuchet MS" w:cs="Arial"/>
                <w:b/>
                <w:sz w:val="20"/>
                <w:szCs w:val="20"/>
              </w:rPr>
              <w:t>698,863.28</w:t>
            </w:r>
          </w:p>
        </w:tc>
      </w:tr>
    </w:tbl>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d)</w:t>
      </w:r>
      <w:r w:rsidRPr="0033483D">
        <w:rPr>
          <w:rFonts w:ascii="Trebuchet MS" w:hAnsi="Trebuchet MS"/>
          <w:sz w:val="20"/>
          <w:szCs w:val="20"/>
        </w:rPr>
        <w:t xml:space="preserve"> Tipo de cambio:</w:t>
      </w:r>
    </w:p>
    <w:p w:rsidR="005B2A02" w:rsidRPr="0033483D" w:rsidRDefault="005B2A02" w:rsidP="005B2A02">
      <w:pPr>
        <w:jc w:val="both"/>
        <w:rPr>
          <w:rFonts w:ascii="Trebuchet MS" w:hAnsi="Trebuchet MS" w:cs="Arial"/>
          <w:sz w:val="20"/>
          <w:szCs w:val="20"/>
        </w:rPr>
      </w:pPr>
    </w:p>
    <w:p w:rsidR="005B2A02" w:rsidRPr="0033483D" w:rsidRDefault="005B2A02" w:rsidP="005B2A02">
      <w:pPr>
        <w:jc w:val="both"/>
        <w:rPr>
          <w:rFonts w:ascii="Trebuchet MS" w:hAnsi="Trebuchet MS" w:cs="Arial"/>
          <w:b/>
          <w:sz w:val="20"/>
          <w:szCs w:val="20"/>
        </w:rPr>
      </w:pPr>
      <w:r w:rsidRPr="00105803">
        <w:rPr>
          <w:rFonts w:ascii="Trebuchet MS" w:hAnsi="Trebuchet MS" w:cs="Arial"/>
          <w:b/>
          <w:sz w:val="20"/>
          <w:szCs w:val="20"/>
        </w:rPr>
        <w:t>1 USD = $</w:t>
      </w:r>
      <w:r w:rsidR="007C1FE3" w:rsidRPr="007C1FE3">
        <w:rPr>
          <w:rFonts w:ascii="Trebuchet MS" w:hAnsi="Trebuchet MS" w:cs="Arial"/>
          <w:b/>
          <w:sz w:val="20"/>
          <w:szCs w:val="20"/>
        </w:rPr>
        <w:t>20.6640</w:t>
      </w:r>
    </w:p>
    <w:p w:rsidR="005B2A02" w:rsidRPr="0033483D" w:rsidRDefault="005B2A02" w:rsidP="005B2A02">
      <w:pPr>
        <w:spacing w:after="0" w:line="240" w:lineRule="auto"/>
        <w:jc w:val="both"/>
        <w:rPr>
          <w:rFonts w:ascii="Trebuchet MS" w:hAnsi="Trebuchet MS"/>
          <w:sz w:val="20"/>
          <w:szCs w:val="20"/>
        </w:rPr>
      </w:pPr>
    </w:p>
    <w:p w:rsidR="005B2A02" w:rsidRPr="0033483D" w:rsidRDefault="005B2A02" w:rsidP="005B2A02">
      <w:pPr>
        <w:spacing w:after="0" w:line="240" w:lineRule="auto"/>
        <w:jc w:val="both"/>
        <w:rPr>
          <w:rFonts w:ascii="Trebuchet MS" w:hAnsi="Trebuchet MS"/>
          <w:sz w:val="20"/>
          <w:szCs w:val="20"/>
        </w:rPr>
      </w:pPr>
      <w:r w:rsidRPr="0033483D">
        <w:rPr>
          <w:rFonts w:ascii="Trebuchet MS" w:hAnsi="Trebuchet MS"/>
          <w:b/>
          <w:sz w:val="20"/>
          <w:szCs w:val="20"/>
        </w:rPr>
        <w:t xml:space="preserve">e) </w:t>
      </w:r>
      <w:r w:rsidRPr="0033483D">
        <w:rPr>
          <w:rFonts w:ascii="Trebuchet MS" w:hAnsi="Trebuchet MS"/>
          <w:sz w:val="20"/>
          <w:szCs w:val="20"/>
        </w:rPr>
        <w:t>Equivalente en moneda nacional:</w:t>
      </w:r>
    </w:p>
    <w:p w:rsidR="005B2A02" w:rsidRPr="0033483D" w:rsidRDefault="005B2A02" w:rsidP="005B2A02">
      <w:pPr>
        <w:spacing w:after="0" w:line="240" w:lineRule="auto"/>
        <w:jc w:val="both"/>
        <w:rPr>
          <w:rFonts w:ascii="Trebuchet MS" w:hAnsi="Trebuchet M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1"/>
        <w:gridCol w:w="2022"/>
      </w:tblGrid>
      <w:tr w:rsidR="005B2A02" w:rsidRPr="00105803" w:rsidTr="00FD2855">
        <w:trPr>
          <w:jc w:val="center"/>
        </w:trPr>
        <w:tc>
          <w:tcPr>
            <w:tcW w:w="2219"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Cuenta Contable</w:t>
            </w:r>
          </w:p>
        </w:tc>
        <w:tc>
          <w:tcPr>
            <w:tcW w:w="2151"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Nombre</w:t>
            </w:r>
          </w:p>
        </w:tc>
        <w:tc>
          <w:tcPr>
            <w:tcW w:w="2022" w:type="dxa"/>
            <w:shd w:val="clear" w:color="auto" w:fill="auto"/>
          </w:tcPr>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Saldo en moneda nacional</w:t>
            </w:r>
          </w:p>
        </w:tc>
      </w:tr>
      <w:tr w:rsidR="005B2A02" w:rsidRPr="007C1FE3" w:rsidTr="00FD2855">
        <w:trPr>
          <w:jc w:val="center"/>
        </w:trPr>
        <w:tc>
          <w:tcPr>
            <w:tcW w:w="2219" w:type="dxa"/>
            <w:shd w:val="clear" w:color="auto" w:fill="auto"/>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111200000006000005</w:t>
            </w:r>
          </w:p>
        </w:tc>
        <w:tc>
          <w:tcPr>
            <w:tcW w:w="2151" w:type="dxa"/>
            <w:shd w:val="clear" w:color="auto" w:fill="auto"/>
          </w:tcPr>
          <w:p w:rsidR="005B2A02" w:rsidRPr="00105803" w:rsidRDefault="005B2A02" w:rsidP="00FD2855">
            <w:pPr>
              <w:jc w:val="both"/>
              <w:rPr>
                <w:rFonts w:ascii="Trebuchet MS" w:hAnsi="Trebuchet MS" w:cs="Arial"/>
                <w:sz w:val="20"/>
                <w:szCs w:val="20"/>
              </w:rPr>
            </w:pPr>
          </w:p>
          <w:p w:rsidR="005B2A02" w:rsidRPr="00105803" w:rsidRDefault="005B2A02" w:rsidP="00FD2855">
            <w:pPr>
              <w:jc w:val="both"/>
              <w:rPr>
                <w:rFonts w:ascii="Trebuchet MS" w:hAnsi="Trebuchet MS" w:cs="Arial"/>
                <w:sz w:val="20"/>
                <w:szCs w:val="20"/>
              </w:rPr>
            </w:pPr>
            <w:r w:rsidRPr="00105803">
              <w:rPr>
                <w:rFonts w:ascii="Trebuchet MS" w:hAnsi="Trebuchet MS" w:cs="Arial"/>
                <w:sz w:val="20"/>
                <w:szCs w:val="20"/>
              </w:rPr>
              <w:t>Banorte 10362100-3</w:t>
            </w:r>
          </w:p>
        </w:tc>
        <w:tc>
          <w:tcPr>
            <w:tcW w:w="2022" w:type="dxa"/>
            <w:shd w:val="clear" w:color="auto" w:fill="auto"/>
          </w:tcPr>
          <w:p w:rsidR="005B2A02" w:rsidRPr="00105803" w:rsidRDefault="005B2A02" w:rsidP="00FD2855">
            <w:pPr>
              <w:jc w:val="right"/>
              <w:rPr>
                <w:rFonts w:ascii="Trebuchet MS" w:hAnsi="Trebuchet MS" w:cs="Arial"/>
                <w:sz w:val="20"/>
                <w:szCs w:val="20"/>
              </w:rPr>
            </w:pPr>
          </w:p>
          <w:p w:rsidR="005B2A02" w:rsidRPr="00105803" w:rsidRDefault="005B2A02" w:rsidP="00FD2855">
            <w:pPr>
              <w:jc w:val="right"/>
              <w:rPr>
                <w:rFonts w:ascii="Trebuchet MS" w:hAnsi="Trebuchet MS" w:cs="Arial"/>
                <w:sz w:val="20"/>
                <w:szCs w:val="20"/>
              </w:rPr>
            </w:pPr>
            <w:r w:rsidRPr="006369B6">
              <w:rPr>
                <w:rFonts w:ascii="Trebuchet MS" w:hAnsi="Trebuchet MS" w:cs="Arial"/>
                <w:sz w:val="20"/>
                <w:szCs w:val="20"/>
              </w:rPr>
              <w:t>$</w:t>
            </w:r>
            <w:r w:rsidR="007C1FE3" w:rsidRPr="007C1FE3">
              <w:rPr>
                <w:rFonts w:ascii="Trebuchet MS" w:hAnsi="Trebuchet MS" w:cs="Arial"/>
                <w:sz w:val="20"/>
                <w:szCs w:val="20"/>
              </w:rPr>
              <w:t>14,441,310</w:t>
            </w:r>
          </w:p>
        </w:tc>
      </w:tr>
    </w:tbl>
    <w:p w:rsidR="005B2A02" w:rsidRPr="0028492B"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8. Reporte Analítico del Activo: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Debe mostrar la siguiente información: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Vida útil o porcentajes de depreciación, deterioro o amortización utilizados en los diferentes tipos de activos:</w:t>
      </w:r>
    </w:p>
    <w:p w:rsidR="005B2A02" w:rsidRPr="00115509" w:rsidRDefault="005B2A02" w:rsidP="005B2A02">
      <w:pPr>
        <w:jc w:val="both"/>
        <w:rPr>
          <w:rFonts w:ascii="Trebuchet MS" w:hAnsi="Trebuchet MS" w:cs="Arial"/>
          <w:sz w:val="20"/>
          <w:szCs w:val="20"/>
        </w:rPr>
      </w:pPr>
      <w:r w:rsidRPr="00115509">
        <w:rPr>
          <w:rFonts w:ascii="Trebuchet MS" w:hAnsi="Trebuchet MS" w:cs="Arial"/>
          <w:sz w:val="20"/>
          <w:szCs w:val="20"/>
        </w:rPr>
        <w:t>La Universidad empleo el Parámetro de Estimación de Vida Útil, publicado en el Diario Oficial de la Federación del miércoles 15 de agosto del 2012</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786"/>
        <w:gridCol w:w="2131"/>
        <w:gridCol w:w="2130"/>
        <w:gridCol w:w="2131"/>
      </w:tblGrid>
      <w:tr w:rsidR="005B2A02" w:rsidRPr="00115509" w:rsidTr="00FD2855">
        <w:trPr>
          <w:trHeight w:val="365"/>
        </w:trPr>
        <w:tc>
          <w:tcPr>
            <w:tcW w:w="3786"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lastRenderedPageBreak/>
              <w:t xml:space="preserve">Cuenta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Concepto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Años de vida útil </w:t>
            </w:r>
          </w:p>
        </w:tc>
        <w:tc>
          <w:tcPr>
            <w:tcW w:w="2130" w:type="dxa"/>
            <w:tcBorders>
              <w:top w:val="single" w:sz="8" w:space="0" w:color="000000"/>
              <w:left w:val="single" w:sz="8" w:space="0" w:color="000000"/>
              <w:bottom w:val="single" w:sz="8" w:space="0" w:color="000000"/>
              <w:right w:val="single" w:sz="8" w:space="0" w:color="000000"/>
            </w:tcBorders>
            <w:shd w:val="clear" w:color="auto" w:fill="000000"/>
          </w:tcPr>
          <w:p w:rsidR="005B2A02" w:rsidRPr="00115509" w:rsidRDefault="005B2A02" w:rsidP="00FD2855">
            <w:pPr>
              <w:pStyle w:val="Default"/>
              <w:spacing w:after="100"/>
              <w:jc w:val="center"/>
              <w:rPr>
                <w:rFonts w:ascii="Trebuchet MS" w:hAnsi="Trebuchet MS"/>
                <w:color w:val="FFFFFF"/>
                <w:sz w:val="20"/>
                <w:szCs w:val="20"/>
              </w:rPr>
            </w:pPr>
            <w:r w:rsidRPr="00115509">
              <w:rPr>
                <w:rFonts w:ascii="Trebuchet MS" w:hAnsi="Trebuchet MS"/>
                <w:b/>
                <w:bCs/>
                <w:color w:val="FFFFFF"/>
                <w:sz w:val="20"/>
                <w:szCs w:val="20"/>
              </w:rPr>
              <w:t xml:space="preserve">% de depreciación anual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Texto"/>
              <w:spacing w:after="100"/>
              <w:jc w:val="both"/>
              <w:rPr>
                <w:rFonts w:ascii="Trebuchet MS" w:hAnsi="Trebuchet MS"/>
                <w:color w:val="000000"/>
                <w:sz w:val="20"/>
                <w:szCs w:val="20"/>
              </w:rPr>
            </w:pPr>
            <w:r w:rsidRPr="00115509">
              <w:rPr>
                <w:rFonts w:ascii="Trebuchet MS" w:hAnsi="Trebuchet MS"/>
                <w:b/>
                <w:bCs/>
                <w:color w:val="000000"/>
                <w:sz w:val="20"/>
                <w:szCs w:val="20"/>
              </w:rPr>
              <w:t xml:space="preserve">1.2.3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BIENES INMUEBLES, INFRAESTRUCTURA Y CONSTRUCCIONES EN PROCESO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Viviendas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Edificios No Habitacionales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1.2.3.4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Infraestructura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4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1.2.3.9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Otros Bienes Inmuebles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BIENES MUEBLES </w:t>
            </w:r>
          </w:p>
        </w:tc>
      </w:tr>
      <w:tr w:rsidR="005B2A02" w:rsidRPr="00115509" w:rsidTr="00FD2855">
        <w:trPr>
          <w:trHeight w:val="125"/>
        </w:trPr>
        <w:tc>
          <w:tcPr>
            <w:tcW w:w="5917" w:type="dxa"/>
            <w:gridSpan w:val="2"/>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1.2.4.1 </w:t>
            </w:r>
          </w:p>
        </w:tc>
        <w:tc>
          <w:tcPr>
            <w:tcW w:w="4261" w:type="dxa"/>
            <w:gridSpan w:val="2"/>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de Administración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Muebles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Muebles, Excepto De Oficina Y Estantería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 de Cómputo y de Tecnologías de la Información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1.2.4.1.9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Otros Mobiliarios y Equipos de Administración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10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1.2.4.2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Mobiliario y Equipo Educacional y Recreativo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Equipos y Aparatos Audiovisuales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Aparatos Deportivos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Cámaras Fotográficas y de Video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33.3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1.2.4.2.9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Otro Mobiliario y Equipo Educacional y Recreativo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1.2.4.3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Equipo e Instrumental Médico y de Laboratorio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1.2.4.3.1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Equipo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1.2.4.3.2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Instrumental Médico y de Laboratorio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r w:rsidR="005B2A02" w:rsidRPr="00115509" w:rsidTr="00FD2855">
        <w:trPr>
          <w:trHeight w:val="125"/>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1.2.4.4 </w:t>
            </w:r>
          </w:p>
        </w:tc>
        <w:tc>
          <w:tcPr>
            <w:tcW w:w="6391" w:type="dxa"/>
            <w:gridSpan w:val="3"/>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b/>
                <w:bCs/>
                <w:sz w:val="20"/>
                <w:szCs w:val="20"/>
              </w:rPr>
              <w:t xml:space="preserve">Equipo de Transporte </w:t>
            </w:r>
          </w:p>
        </w:tc>
      </w:tr>
      <w:tr w:rsidR="005B2A02" w:rsidRPr="00115509" w:rsidTr="00FD2855">
        <w:trPr>
          <w:trHeight w:val="119"/>
        </w:trPr>
        <w:tc>
          <w:tcPr>
            <w:tcW w:w="3786"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1.2.4.4.1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both"/>
              <w:rPr>
                <w:rFonts w:ascii="Trebuchet MS" w:hAnsi="Trebuchet MS"/>
                <w:sz w:val="20"/>
                <w:szCs w:val="20"/>
              </w:rPr>
            </w:pPr>
            <w:r w:rsidRPr="00115509">
              <w:rPr>
                <w:rFonts w:ascii="Trebuchet MS" w:hAnsi="Trebuchet MS"/>
                <w:sz w:val="20"/>
                <w:szCs w:val="20"/>
              </w:rPr>
              <w:t xml:space="preserve">Automóviles y Equipo Terrestre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5 </w:t>
            </w:r>
          </w:p>
        </w:tc>
        <w:tc>
          <w:tcPr>
            <w:tcW w:w="2130" w:type="dxa"/>
            <w:tcBorders>
              <w:top w:val="single" w:sz="8" w:space="0" w:color="000000"/>
              <w:left w:val="single" w:sz="8" w:space="0" w:color="000000"/>
              <w:bottom w:val="single" w:sz="8" w:space="0" w:color="000000"/>
              <w:right w:val="single" w:sz="8" w:space="0" w:color="000000"/>
            </w:tcBorders>
          </w:tcPr>
          <w:p w:rsidR="005B2A02" w:rsidRPr="00115509" w:rsidRDefault="005B2A02" w:rsidP="00FD2855">
            <w:pPr>
              <w:pStyle w:val="Default"/>
              <w:spacing w:after="100"/>
              <w:jc w:val="center"/>
              <w:rPr>
                <w:rFonts w:ascii="Trebuchet MS" w:hAnsi="Trebuchet MS"/>
                <w:sz w:val="20"/>
                <w:szCs w:val="20"/>
              </w:rPr>
            </w:pPr>
            <w:r w:rsidRPr="00115509">
              <w:rPr>
                <w:rFonts w:ascii="Trebuchet MS" w:hAnsi="Trebuchet MS"/>
                <w:sz w:val="20"/>
                <w:szCs w:val="20"/>
              </w:rPr>
              <w:t xml:space="preserve">20 </w:t>
            </w:r>
          </w:p>
        </w:tc>
      </w:tr>
    </w:tbl>
    <w:p w:rsidR="005B2A02" w:rsidRPr="008878FA" w:rsidRDefault="005B2A02" w:rsidP="005B2A02">
      <w:pPr>
        <w:spacing w:after="0" w:line="240" w:lineRule="auto"/>
        <w:jc w:val="both"/>
        <w:rPr>
          <w:rFonts w:ascii="Trebuchet MS" w:hAnsi="Trebuchet MS"/>
          <w:sz w:val="20"/>
          <w:szCs w:val="20"/>
        </w:rPr>
      </w:pPr>
    </w:p>
    <w:p w:rsidR="005B2A02" w:rsidRPr="00247228"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Cambios en el porcentaje de depreciación o valor residual de los activos:</w:t>
      </w:r>
      <w:r>
        <w:rPr>
          <w:rFonts w:ascii="Trebuchet MS" w:hAnsi="Trebuchet MS"/>
          <w:sz w:val="20"/>
          <w:szCs w:val="20"/>
        </w:rPr>
        <w:t xml:space="preserve"> </w:t>
      </w: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Importe de los gastos capitalizados en el ejercicio, tanto financieros como de investigación y desarrollo:</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lastRenderedPageBreak/>
        <w:t>d)</w:t>
      </w:r>
      <w:r w:rsidRPr="008878FA">
        <w:rPr>
          <w:rFonts w:ascii="Trebuchet MS" w:hAnsi="Trebuchet MS"/>
          <w:sz w:val="20"/>
          <w:szCs w:val="20"/>
        </w:rPr>
        <w:t xml:space="preserve"> Riegos por tipo de cambio o tipo de interés de las inversiones financieras:</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 xml:space="preserve">e) </w:t>
      </w:r>
      <w:r w:rsidRPr="008878FA">
        <w:rPr>
          <w:rFonts w:ascii="Trebuchet MS" w:hAnsi="Trebuchet MS"/>
          <w:sz w:val="20"/>
          <w:szCs w:val="20"/>
        </w:rPr>
        <w:t>Valor activado en el ejercicio de los bienes construidos por la entidad:</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 en el periodo</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f)</w:t>
      </w:r>
      <w:r w:rsidRPr="008878FA">
        <w:rPr>
          <w:rFonts w:ascii="Trebuchet MS" w:hAnsi="Trebuchet MS"/>
          <w:sz w:val="20"/>
          <w:szCs w:val="20"/>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5B2A02" w:rsidRPr="00247228" w:rsidRDefault="005B2A02" w:rsidP="005B2A02">
      <w:pPr>
        <w:jc w:val="both"/>
        <w:rPr>
          <w:rFonts w:ascii="Trebuchet MS" w:hAnsi="Trebuchet MS" w:cs="Arial"/>
          <w:sz w:val="20"/>
          <w:szCs w:val="20"/>
        </w:rPr>
      </w:pPr>
      <w:r>
        <w:rPr>
          <w:rFonts w:ascii="Trebuchet MS" w:hAnsi="Trebuchet MS" w:cs="Arial"/>
          <w:sz w:val="20"/>
          <w:szCs w:val="20"/>
        </w:rPr>
        <w:t xml:space="preserve">No </w:t>
      </w:r>
      <w:r w:rsidRPr="00115509">
        <w:rPr>
          <w:rFonts w:ascii="Trebuchet MS" w:hAnsi="Trebuchet MS" w:cs="Arial"/>
          <w:sz w:val="20"/>
          <w:szCs w:val="20"/>
        </w:rPr>
        <w:t>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g)</w:t>
      </w:r>
      <w:r w:rsidRPr="008878FA">
        <w:rPr>
          <w:rFonts w:ascii="Trebuchet MS" w:hAnsi="Trebuchet MS"/>
          <w:sz w:val="20"/>
          <w:szCs w:val="20"/>
        </w:rPr>
        <w:t xml:space="preserve"> Desmantelamiento de Activos, procedimientos, implicaciones, efectos contables:</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h)</w:t>
      </w:r>
      <w:r w:rsidRPr="008878FA">
        <w:rPr>
          <w:rFonts w:ascii="Trebuchet MS" w:hAnsi="Trebuchet MS"/>
          <w:sz w:val="20"/>
          <w:szCs w:val="20"/>
        </w:rPr>
        <w:t xml:space="preserve"> Administración de activos; planeación con el objetivo de que el ente los utilice de manera más efectiva:</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Adicionalmente, se deben incluir las explicaciones de las principales variaciones en el activo, en cuadros comparativos como sigue: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numPr>
          <w:ilvl w:val="0"/>
          <w:numId w:val="7"/>
        </w:numPr>
        <w:spacing w:after="0" w:line="240" w:lineRule="auto"/>
        <w:jc w:val="both"/>
        <w:rPr>
          <w:rFonts w:ascii="Trebuchet MS" w:hAnsi="Trebuchet MS"/>
          <w:sz w:val="20"/>
          <w:szCs w:val="20"/>
        </w:rPr>
      </w:pPr>
      <w:r w:rsidRPr="008878FA">
        <w:rPr>
          <w:rFonts w:ascii="Trebuchet MS" w:hAnsi="Trebuchet MS"/>
          <w:sz w:val="20"/>
          <w:szCs w:val="20"/>
        </w:rPr>
        <w:t>Inversiones en valores:</w:t>
      </w:r>
    </w:p>
    <w:p w:rsidR="005B2A02" w:rsidRDefault="005B2A02" w:rsidP="005B2A02">
      <w:pPr>
        <w:spacing w:after="0" w:line="240" w:lineRule="auto"/>
        <w:ind w:left="360"/>
        <w:jc w:val="both"/>
        <w:rPr>
          <w:rFonts w:ascii="Trebuchet MS" w:hAnsi="Trebuchet MS"/>
          <w:sz w:val="20"/>
          <w:szCs w:val="20"/>
        </w:rPr>
      </w:pPr>
    </w:p>
    <w:tbl>
      <w:tblPr>
        <w:tblW w:w="8851" w:type="dxa"/>
        <w:tblInd w:w="75" w:type="dxa"/>
        <w:tblCellMar>
          <w:left w:w="70" w:type="dxa"/>
          <w:right w:w="70" w:type="dxa"/>
        </w:tblCellMar>
        <w:tblLook w:val="04A0" w:firstRow="1" w:lastRow="0" w:firstColumn="1" w:lastColumn="0" w:noHBand="0" w:noVBand="1"/>
      </w:tblPr>
      <w:tblGrid>
        <w:gridCol w:w="2268"/>
        <w:gridCol w:w="4535"/>
        <w:gridCol w:w="2048"/>
      </w:tblGrid>
      <w:tr w:rsidR="005B2A02" w:rsidRPr="00AA62D0" w:rsidTr="00FD2855">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4535"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2048"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r>
      <w:tr w:rsidR="005B2A02" w:rsidRPr="006369B6" w:rsidTr="00FD2855">
        <w:trPr>
          <w:trHeight w:val="300"/>
        </w:trPr>
        <w:tc>
          <w:tcPr>
            <w:tcW w:w="2268"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7C1FE3" w:rsidP="00FD2855">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111400000001</w:t>
            </w:r>
          </w:p>
        </w:tc>
        <w:tc>
          <w:tcPr>
            <w:tcW w:w="4535" w:type="dxa"/>
            <w:tcBorders>
              <w:top w:val="nil"/>
              <w:left w:val="nil"/>
              <w:bottom w:val="single" w:sz="4" w:space="0" w:color="000000"/>
              <w:right w:val="nil"/>
            </w:tcBorders>
            <w:shd w:val="clear" w:color="auto" w:fill="auto"/>
            <w:vAlign w:val="center"/>
            <w:hideMark/>
          </w:tcPr>
          <w:p w:rsidR="005B2A02" w:rsidRPr="00AA62D0" w:rsidRDefault="007C1FE3" w:rsidP="00FD2855">
            <w:pPr>
              <w:spacing w:after="0" w:line="240" w:lineRule="auto"/>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VALORES EN BANCOS</w:t>
            </w:r>
          </w:p>
        </w:tc>
        <w:tc>
          <w:tcPr>
            <w:tcW w:w="2048" w:type="dxa"/>
            <w:tcBorders>
              <w:top w:val="nil"/>
              <w:left w:val="single" w:sz="4" w:space="0" w:color="000000"/>
              <w:bottom w:val="single" w:sz="4" w:space="0" w:color="000000"/>
              <w:right w:val="nil"/>
            </w:tcBorders>
            <w:shd w:val="clear" w:color="auto" w:fill="auto"/>
            <w:hideMark/>
          </w:tcPr>
          <w:p w:rsidR="005B2A02" w:rsidRPr="00AA62D0" w:rsidRDefault="007C1FE3" w:rsidP="00FD2855">
            <w:pPr>
              <w:spacing w:after="0" w:line="240" w:lineRule="auto"/>
              <w:jc w:val="right"/>
              <w:rPr>
                <w:rFonts w:ascii="Trebuchet MS" w:eastAsia="Times New Roman" w:hAnsi="Trebuchet MS"/>
                <w:color w:val="000000"/>
                <w:sz w:val="16"/>
                <w:szCs w:val="20"/>
                <w:lang w:eastAsia="es-MX"/>
              </w:rPr>
            </w:pPr>
            <w:r w:rsidRPr="007C1FE3">
              <w:rPr>
                <w:rFonts w:ascii="Trebuchet MS" w:eastAsia="Times New Roman" w:hAnsi="Trebuchet MS"/>
                <w:color w:val="000000"/>
                <w:sz w:val="16"/>
                <w:szCs w:val="20"/>
                <w:lang w:eastAsia="es-MX"/>
              </w:rPr>
              <w:t>30</w:t>
            </w:r>
            <w:r>
              <w:rPr>
                <w:rFonts w:ascii="Trebuchet MS" w:eastAsia="Times New Roman" w:hAnsi="Trebuchet MS"/>
                <w:color w:val="000000"/>
                <w:sz w:val="16"/>
                <w:szCs w:val="20"/>
                <w:lang w:eastAsia="es-MX"/>
              </w:rPr>
              <w:t>,</w:t>
            </w:r>
            <w:r w:rsidRPr="007C1FE3">
              <w:rPr>
                <w:rFonts w:ascii="Trebuchet MS" w:eastAsia="Times New Roman" w:hAnsi="Trebuchet MS"/>
                <w:color w:val="000000"/>
                <w:sz w:val="16"/>
                <w:szCs w:val="20"/>
                <w:lang w:eastAsia="es-MX"/>
              </w:rPr>
              <w:t>281</w:t>
            </w:r>
            <w:r>
              <w:rPr>
                <w:rFonts w:ascii="Trebuchet MS" w:eastAsia="Times New Roman" w:hAnsi="Trebuchet MS"/>
                <w:color w:val="000000"/>
                <w:sz w:val="16"/>
                <w:szCs w:val="20"/>
                <w:lang w:eastAsia="es-MX"/>
              </w:rPr>
              <w:t>,</w:t>
            </w:r>
            <w:r w:rsidRPr="007C1FE3">
              <w:rPr>
                <w:rFonts w:ascii="Trebuchet MS" w:eastAsia="Times New Roman" w:hAnsi="Trebuchet MS"/>
                <w:color w:val="000000"/>
                <w:sz w:val="16"/>
                <w:szCs w:val="20"/>
                <w:lang w:eastAsia="es-MX"/>
              </w:rPr>
              <w:t>485</w:t>
            </w:r>
          </w:p>
        </w:tc>
      </w:tr>
    </w:tbl>
    <w:p w:rsidR="005B2A02" w:rsidRPr="008878FA" w:rsidRDefault="005B2A02" w:rsidP="005B2A02">
      <w:pPr>
        <w:spacing w:after="0" w:line="240" w:lineRule="auto"/>
        <w:ind w:left="360"/>
        <w:jc w:val="both"/>
        <w:rPr>
          <w:rFonts w:ascii="Trebuchet MS" w:hAnsi="Trebuchet MS"/>
          <w:sz w:val="20"/>
          <w:szCs w:val="20"/>
        </w:rPr>
      </w:pPr>
    </w:p>
    <w:p w:rsidR="005B2A02" w:rsidRDefault="005B2A02" w:rsidP="005B2A02">
      <w:pPr>
        <w:spacing w:after="0" w:line="240" w:lineRule="auto"/>
        <w:jc w:val="center"/>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Patrimonio de Organismos descentralizados de Control Presupuestario Indirecto:</w:t>
      </w:r>
    </w:p>
    <w:p w:rsidR="005B2A02" w:rsidRPr="00247228"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c)</w:t>
      </w:r>
      <w:r w:rsidRPr="008878FA">
        <w:rPr>
          <w:rFonts w:ascii="Trebuchet MS" w:hAnsi="Trebuchet MS"/>
          <w:sz w:val="20"/>
          <w:szCs w:val="20"/>
        </w:rPr>
        <w:t xml:space="preserve"> Inversiones en empresas de participación mayoritaria:</w:t>
      </w:r>
    </w:p>
    <w:p w:rsidR="005B2A02" w:rsidRPr="008878FA" w:rsidRDefault="005B2A02" w:rsidP="005B2A02">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35"/>
        <w:gridCol w:w="1984"/>
        <w:gridCol w:w="1130"/>
        <w:gridCol w:w="1968"/>
        <w:gridCol w:w="2254"/>
      </w:tblGrid>
      <w:tr w:rsidR="005B2A02" w:rsidRPr="00AA62D0" w:rsidTr="00FD2855">
        <w:trPr>
          <w:trHeight w:val="300"/>
        </w:trPr>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NOMBRE DE LA CUENTA</w:t>
            </w:r>
          </w:p>
        </w:tc>
        <w:tc>
          <w:tcPr>
            <w:tcW w:w="1134" w:type="dxa"/>
            <w:tcBorders>
              <w:top w:val="single" w:sz="4" w:space="0" w:color="000000"/>
              <w:left w:val="nil"/>
              <w:bottom w:val="nil"/>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MONTO</w:t>
            </w:r>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TIPO</w:t>
            </w:r>
          </w:p>
        </w:tc>
        <w:tc>
          <w:tcPr>
            <w:tcW w:w="2268" w:type="dxa"/>
            <w:tcBorders>
              <w:top w:val="single" w:sz="4" w:space="0" w:color="000000"/>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20"/>
                <w:lang w:eastAsia="es-MX"/>
              </w:rPr>
            </w:pPr>
            <w:r w:rsidRPr="00AA62D0">
              <w:rPr>
                <w:rFonts w:ascii="Trebuchet MS" w:eastAsia="Times New Roman" w:hAnsi="Trebuchet MS"/>
                <w:b/>
                <w:bCs/>
                <w:color w:val="000000"/>
                <w:sz w:val="16"/>
                <w:szCs w:val="20"/>
                <w:lang w:eastAsia="es-MX"/>
              </w:rPr>
              <w:t>EMPRESA/</w:t>
            </w:r>
            <w:proofErr w:type="spellStart"/>
            <w:r w:rsidRPr="00AA62D0">
              <w:rPr>
                <w:rFonts w:ascii="Trebuchet MS" w:eastAsia="Times New Roman" w:hAnsi="Trebuchet MS"/>
                <w:b/>
                <w:bCs/>
                <w:color w:val="000000"/>
                <w:sz w:val="16"/>
                <w:szCs w:val="20"/>
                <w:lang w:eastAsia="es-MX"/>
              </w:rPr>
              <w:t>OPDes</w:t>
            </w:r>
            <w:proofErr w:type="spellEnd"/>
            <w:r w:rsidRPr="00AA62D0">
              <w:rPr>
                <w:rFonts w:ascii="Trebuchet MS" w:eastAsia="Times New Roman" w:hAnsi="Trebuchet MS"/>
                <w:b/>
                <w:bCs/>
                <w:color w:val="000000"/>
                <w:sz w:val="16"/>
                <w:szCs w:val="20"/>
                <w:lang w:eastAsia="es-MX"/>
              </w:rPr>
              <w:t xml:space="preserve"> </w:t>
            </w:r>
          </w:p>
        </w:tc>
      </w:tr>
      <w:tr w:rsidR="005B2A02" w:rsidRPr="00AA62D0" w:rsidTr="00FD2855">
        <w:trPr>
          <w:trHeight w:val="45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1214000000010000001</w:t>
            </w:r>
          </w:p>
        </w:tc>
        <w:tc>
          <w:tcPr>
            <w:tcW w:w="1984" w:type="dxa"/>
            <w:tcBorders>
              <w:top w:val="nil"/>
              <w:left w:val="nil"/>
              <w:bottom w:val="single" w:sz="4" w:space="0" w:color="000000"/>
              <w:right w:val="nil"/>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GUALDRA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18,036,509</w:t>
            </w:r>
          </w:p>
        </w:tc>
        <w:tc>
          <w:tcPr>
            <w:tcW w:w="1984" w:type="dxa"/>
            <w:tcBorders>
              <w:top w:val="nil"/>
              <w:left w:val="nil"/>
              <w:bottom w:val="nil"/>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MAYORITARIO</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GUALDRA, SA DE CV</w:t>
            </w:r>
          </w:p>
        </w:tc>
      </w:tr>
      <w:tr w:rsidR="005B2A02" w:rsidRPr="00AA62D0" w:rsidTr="00FD2855">
        <w:trPr>
          <w:trHeight w:val="600"/>
        </w:trPr>
        <w:tc>
          <w:tcPr>
            <w:tcW w:w="1701" w:type="dxa"/>
            <w:tcBorders>
              <w:top w:val="nil"/>
              <w:left w:val="single" w:sz="4" w:space="0" w:color="000000"/>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1214000000010000002</w:t>
            </w:r>
          </w:p>
        </w:tc>
        <w:tc>
          <w:tcPr>
            <w:tcW w:w="1984"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CAPITAL CONTABLE ESTACIONAMIENTO LAS HUERTAS</w:t>
            </w:r>
          </w:p>
        </w:tc>
        <w:tc>
          <w:tcPr>
            <w:tcW w:w="1134" w:type="dxa"/>
            <w:tcBorders>
              <w:top w:val="nil"/>
              <w:left w:val="single" w:sz="4" w:space="0" w:color="auto"/>
              <w:bottom w:val="single" w:sz="4" w:space="0" w:color="auto"/>
              <w:right w:val="nil"/>
            </w:tcBorders>
            <w:shd w:val="clear" w:color="auto" w:fill="auto"/>
            <w:vAlign w:val="center"/>
            <w:hideMark/>
          </w:tcPr>
          <w:p w:rsidR="005B2A02" w:rsidRPr="00AA62D0" w:rsidRDefault="005B2A02" w:rsidP="00FD2855">
            <w:pPr>
              <w:spacing w:after="0" w:line="240" w:lineRule="auto"/>
              <w:jc w:val="right"/>
              <w:rPr>
                <w:rFonts w:ascii="Trebuchet MS" w:eastAsia="Times New Roman" w:hAnsi="Trebuchet MS"/>
                <w:sz w:val="16"/>
                <w:szCs w:val="20"/>
                <w:lang w:eastAsia="es-MX"/>
              </w:rPr>
            </w:pPr>
            <w:r w:rsidRPr="00AA62D0">
              <w:rPr>
                <w:rFonts w:ascii="Trebuchet MS" w:eastAsia="Times New Roman" w:hAnsi="Trebuchet MS"/>
                <w:sz w:val="16"/>
                <w:szCs w:val="20"/>
                <w:lang w:eastAsia="es-MX"/>
              </w:rPr>
              <w:t>481,320</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SOCIO MINORITARIO</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color w:val="000000"/>
                <w:sz w:val="16"/>
                <w:szCs w:val="20"/>
                <w:lang w:eastAsia="es-MX"/>
              </w:rPr>
            </w:pPr>
            <w:r w:rsidRPr="00AA62D0">
              <w:rPr>
                <w:rFonts w:ascii="Trebuchet MS" w:eastAsia="Times New Roman" w:hAnsi="Trebuchet MS"/>
                <w:color w:val="000000"/>
                <w:sz w:val="16"/>
                <w:szCs w:val="20"/>
                <w:lang w:eastAsia="es-MX"/>
              </w:rPr>
              <w:t xml:space="preserve">ESTACIONAMIENTO LAS HUERTAS SA DE CV </w:t>
            </w:r>
          </w:p>
        </w:tc>
      </w:tr>
    </w:tbl>
    <w:p w:rsidR="005B2A02" w:rsidRDefault="005B2A02" w:rsidP="005B2A02">
      <w:pPr>
        <w:spacing w:after="0" w:line="240" w:lineRule="auto"/>
        <w:jc w:val="both"/>
        <w:rPr>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d)</w:t>
      </w:r>
      <w:r w:rsidRPr="008878FA">
        <w:rPr>
          <w:rFonts w:ascii="Trebuchet MS" w:hAnsi="Trebuchet MS"/>
          <w:sz w:val="20"/>
          <w:szCs w:val="20"/>
        </w:rPr>
        <w:t xml:space="preserve"> Inversiones en empresas de participación minoritaria: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Default="005B2A02" w:rsidP="005B2A02">
      <w:pPr>
        <w:spacing w:after="0" w:line="240" w:lineRule="auto"/>
        <w:jc w:val="both"/>
        <w:rPr>
          <w:rFonts w:ascii="Trebuchet MS" w:hAnsi="Trebuchet MS"/>
          <w:b/>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e)</w:t>
      </w:r>
      <w:r w:rsidRPr="008878FA">
        <w:rPr>
          <w:rFonts w:ascii="Trebuchet MS" w:hAnsi="Trebuchet MS"/>
          <w:sz w:val="20"/>
          <w:szCs w:val="20"/>
        </w:rPr>
        <w:t xml:space="preserve"> Patrimonio de organismos descentralizados de control presupuestario directo, según corresponda: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9. Fideicomisos, Mandatos y Análogos: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deberá informar:</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Por ramo administrativo que los reporta:</w:t>
      </w:r>
    </w:p>
    <w:p w:rsidR="005B2A02" w:rsidRDefault="005B2A02" w:rsidP="005B2A02">
      <w:pPr>
        <w:spacing w:after="0" w:line="240" w:lineRule="auto"/>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Enlistar los de mayor monto de disponibilidad, relacionando aquéllos que conforman el 80% de las disponibilidades:</w:t>
      </w:r>
    </w:p>
    <w:p w:rsidR="005B2A02"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p>
    <w:tbl>
      <w:tblPr>
        <w:tblW w:w="9071" w:type="dxa"/>
        <w:tblInd w:w="75" w:type="dxa"/>
        <w:tblCellMar>
          <w:left w:w="70" w:type="dxa"/>
          <w:right w:w="70" w:type="dxa"/>
        </w:tblCellMar>
        <w:tblLook w:val="04A0" w:firstRow="1" w:lastRow="0" w:firstColumn="1" w:lastColumn="0" w:noHBand="0" w:noVBand="1"/>
      </w:tblPr>
      <w:tblGrid>
        <w:gridCol w:w="1742"/>
        <w:gridCol w:w="1984"/>
        <w:gridCol w:w="1134"/>
        <w:gridCol w:w="1943"/>
        <w:gridCol w:w="2268"/>
      </w:tblGrid>
      <w:tr w:rsidR="005B2A02" w:rsidRPr="00AA62D0" w:rsidTr="007C1FE3">
        <w:trPr>
          <w:trHeight w:val="300"/>
        </w:trPr>
        <w:tc>
          <w:tcPr>
            <w:tcW w:w="17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CUENTA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 LA CUENTA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MONTO</w:t>
            </w:r>
          </w:p>
        </w:tc>
        <w:tc>
          <w:tcPr>
            <w:tcW w:w="1943" w:type="dxa"/>
            <w:tcBorders>
              <w:top w:val="single" w:sz="4" w:space="0" w:color="auto"/>
              <w:left w:val="nil"/>
              <w:bottom w:val="single" w:sz="4" w:space="0" w:color="auto"/>
              <w:right w:val="single" w:sz="4" w:space="0" w:color="auto"/>
            </w:tcBorders>
            <w:shd w:val="clear" w:color="auto" w:fill="auto"/>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TIPO</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5B2A02" w:rsidRPr="00AA62D0" w:rsidRDefault="005B2A02" w:rsidP="00FD2855">
            <w:pPr>
              <w:spacing w:after="0" w:line="240" w:lineRule="auto"/>
              <w:jc w:val="center"/>
              <w:rPr>
                <w:rFonts w:ascii="Trebuchet MS" w:eastAsia="Times New Roman" w:hAnsi="Trebuchet MS"/>
                <w:b/>
                <w:bCs/>
                <w:color w:val="000000"/>
                <w:sz w:val="16"/>
                <w:szCs w:val="16"/>
                <w:lang w:eastAsia="es-MX"/>
              </w:rPr>
            </w:pPr>
            <w:r w:rsidRPr="00AA62D0">
              <w:rPr>
                <w:rFonts w:ascii="Trebuchet MS" w:eastAsia="Times New Roman" w:hAnsi="Trebuchet MS"/>
                <w:b/>
                <w:bCs/>
                <w:color w:val="000000"/>
                <w:sz w:val="16"/>
                <w:szCs w:val="16"/>
                <w:lang w:eastAsia="es-MX"/>
              </w:rPr>
              <w:t>NOMBRE DEL FIDEICOMISO</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spacing w:after="0" w:line="240" w:lineRule="auto"/>
              <w:rPr>
                <w:rFonts w:ascii="Arial" w:hAnsi="Arial" w:cs="Arial"/>
                <w:color w:val="000000"/>
                <w:sz w:val="16"/>
                <w:szCs w:val="16"/>
                <w:lang w:eastAsia="es-MX"/>
              </w:rPr>
            </w:pPr>
            <w:r>
              <w:rPr>
                <w:rFonts w:ascii="Arial" w:hAnsi="Arial" w:cs="Arial"/>
                <w:color w:val="000000"/>
                <w:sz w:val="16"/>
                <w:szCs w:val="16"/>
              </w:rPr>
              <w:t>121300000001000003</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Banorte, 2438-1, FOBECA</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5,145,231</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spacing w:after="0" w:line="240" w:lineRule="auto"/>
              <w:jc w:val="center"/>
              <w:rPr>
                <w:rFonts w:ascii="Arial" w:hAnsi="Arial" w:cs="Arial"/>
                <w:color w:val="000000"/>
                <w:sz w:val="16"/>
                <w:szCs w:val="16"/>
                <w:lang w:eastAsia="es-MX"/>
              </w:rPr>
            </w:pPr>
            <w:r>
              <w:rPr>
                <w:rFonts w:ascii="Arial" w:hAnsi="Arial" w:cs="Arial"/>
                <w:color w:val="000000"/>
                <w:sz w:val="16"/>
                <w:szCs w:val="16"/>
              </w:rPr>
              <w:t>FOBECA</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121300000001000008</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Fideicomiso Seguro contra Accidentes</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192</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SEGURO CONTRA ACCIDENTES</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121300000001000010</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Fideicomiso Física 00041902-000</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337,822</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FÍSICA</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121300000001000013</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Banamex135762-8</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22,644,654</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SEGURO CONTRA ACCIDENTES</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121300000001000016</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Fideicomiso Fondo Universitario Patrimonial (Patronato)</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30,925</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 xml:space="preserve">FONDO UNIVERSITARIO PATRIMONIAL </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121300000001000017</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Santander Serfin,0200151215 Jubilaciones y Pensiones</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321,049,290</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PENSIONES Y JUBILACIONES</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121300000001000018</w:t>
            </w:r>
          </w:p>
        </w:tc>
        <w:tc>
          <w:tcPr>
            <w:tcW w:w="1984" w:type="dxa"/>
            <w:tcBorders>
              <w:top w:val="nil"/>
              <w:left w:val="nil"/>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2001797 FAM Santander</w:t>
            </w:r>
          </w:p>
        </w:tc>
        <w:tc>
          <w:tcPr>
            <w:tcW w:w="1134" w:type="dxa"/>
            <w:tcBorders>
              <w:top w:val="nil"/>
              <w:left w:val="nil"/>
              <w:bottom w:val="single" w:sz="4" w:space="0" w:color="auto"/>
              <w:right w:val="single" w:sz="4" w:space="0" w:color="auto"/>
            </w:tcBorders>
            <w:shd w:val="clear" w:color="auto" w:fill="auto"/>
            <w:noWrap/>
            <w:vAlign w:val="center"/>
          </w:tcPr>
          <w:p w:rsidR="007C1FE3" w:rsidRDefault="007C1FE3" w:rsidP="007C1FE3">
            <w:pPr>
              <w:jc w:val="right"/>
              <w:rPr>
                <w:rFonts w:ascii="Arial" w:hAnsi="Arial" w:cs="Arial"/>
                <w:color w:val="000000"/>
                <w:sz w:val="16"/>
                <w:szCs w:val="16"/>
              </w:rPr>
            </w:pPr>
            <w:r>
              <w:rPr>
                <w:rFonts w:ascii="Arial" w:hAnsi="Arial" w:cs="Arial"/>
                <w:color w:val="000000"/>
                <w:sz w:val="16"/>
                <w:szCs w:val="16"/>
              </w:rPr>
              <w:t>99,632,585</w:t>
            </w:r>
          </w:p>
        </w:tc>
        <w:tc>
          <w:tcPr>
            <w:tcW w:w="1943"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FAM</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121300000001000022</w:t>
            </w:r>
          </w:p>
        </w:tc>
        <w:tc>
          <w:tcPr>
            <w:tcW w:w="1984" w:type="dxa"/>
            <w:tcBorders>
              <w:top w:val="nil"/>
              <w:left w:val="nil"/>
              <w:bottom w:val="single" w:sz="4" w:space="0" w:color="auto"/>
              <w:right w:val="single" w:sz="4" w:space="0" w:color="auto"/>
            </w:tcBorders>
            <w:shd w:val="clear" w:color="auto" w:fill="auto"/>
            <w:vAlign w:val="center"/>
          </w:tcPr>
          <w:p w:rsidR="007C1FE3" w:rsidRDefault="007C1FE3" w:rsidP="007C1FE3">
            <w:pPr>
              <w:rPr>
                <w:rFonts w:ascii="Arial" w:hAnsi="Arial" w:cs="Arial"/>
                <w:color w:val="000000"/>
                <w:sz w:val="16"/>
                <w:szCs w:val="16"/>
              </w:rPr>
            </w:pPr>
            <w:r>
              <w:rPr>
                <w:rFonts w:ascii="Arial" w:hAnsi="Arial" w:cs="Arial"/>
                <w:color w:val="000000"/>
                <w:sz w:val="16"/>
                <w:szCs w:val="16"/>
              </w:rPr>
              <w:t>CONT. 2001798-006 PRODEP 2016   </w:t>
            </w:r>
          </w:p>
        </w:tc>
        <w:tc>
          <w:tcPr>
            <w:tcW w:w="1134" w:type="dxa"/>
            <w:tcBorders>
              <w:top w:val="nil"/>
              <w:left w:val="nil"/>
              <w:bottom w:val="single" w:sz="4" w:space="0" w:color="auto"/>
              <w:right w:val="single" w:sz="4" w:space="0" w:color="auto"/>
            </w:tcBorders>
            <w:shd w:val="clear" w:color="auto" w:fill="auto"/>
            <w:noWrap/>
            <w:vAlign w:val="center"/>
          </w:tcPr>
          <w:p w:rsidR="007C1FE3" w:rsidRDefault="007C1FE3" w:rsidP="007C1FE3">
            <w:pPr>
              <w:jc w:val="right"/>
              <w:rPr>
                <w:rFonts w:ascii="Arial" w:hAnsi="Arial" w:cs="Arial"/>
                <w:color w:val="000000"/>
                <w:sz w:val="16"/>
                <w:szCs w:val="16"/>
              </w:rPr>
            </w:pPr>
            <w:r>
              <w:rPr>
                <w:rFonts w:ascii="Arial" w:hAnsi="Arial" w:cs="Arial"/>
                <w:color w:val="000000"/>
                <w:sz w:val="16"/>
                <w:szCs w:val="16"/>
              </w:rPr>
              <w:t>24,681,889</w:t>
            </w:r>
          </w:p>
        </w:tc>
        <w:tc>
          <w:tcPr>
            <w:tcW w:w="1943"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tcPr>
          <w:p w:rsidR="007C1FE3" w:rsidRDefault="007C1FE3" w:rsidP="007C1FE3">
            <w:pPr>
              <w:jc w:val="center"/>
              <w:rPr>
                <w:rFonts w:ascii="Arial" w:hAnsi="Arial" w:cs="Arial"/>
                <w:color w:val="000000"/>
                <w:sz w:val="16"/>
                <w:szCs w:val="16"/>
              </w:rPr>
            </w:pPr>
            <w:r>
              <w:rPr>
                <w:rFonts w:ascii="Arial" w:hAnsi="Arial" w:cs="Arial"/>
                <w:color w:val="000000"/>
                <w:sz w:val="16"/>
                <w:szCs w:val="16"/>
              </w:rPr>
              <w:t>PRODEP 2016</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121300000001000021</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BAJIO CUENTA 17172131/09118125 PFCE 2016   </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33,970,524</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PFCE 2016</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121300000001000019</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2001798-1 PROMEP SANTANDER</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48,661,919</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PRODEP</w:t>
            </w:r>
          </w:p>
        </w:tc>
      </w:tr>
      <w:tr w:rsidR="007C1FE3" w:rsidRPr="00AA62D0" w:rsidTr="007C1FE3">
        <w:trPr>
          <w:trHeight w:val="300"/>
        </w:trPr>
        <w:tc>
          <w:tcPr>
            <w:tcW w:w="1742"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121300000001000020</w:t>
            </w:r>
          </w:p>
        </w:tc>
        <w:tc>
          <w:tcPr>
            <w:tcW w:w="1984" w:type="dxa"/>
            <w:tcBorders>
              <w:top w:val="nil"/>
              <w:left w:val="nil"/>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PIFI BANCOMER 0194646460</w:t>
            </w:r>
          </w:p>
        </w:tc>
        <w:tc>
          <w:tcPr>
            <w:tcW w:w="1134" w:type="dxa"/>
            <w:tcBorders>
              <w:top w:val="nil"/>
              <w:left w:val="nil"/>
              <w:bottom w:val="single" w:sz="4" w:space="0" w:color="auto"/>
              <w:right w:val="single" w:sz="4" w:space="0" w:color="auto"/>
            </w:tcBorders>
            <w:shd w:val="clear" w:color="auto" w:fill="auto"/>
            <w:noWrap/>
            <w:vAlign w:val="center"/>
            <w:hideMark/>
          </w:tcPr>
          <w:p w:rsidR="007C1FE3" w:rsidRDefault="007C1FE3" w:rsidP="007C1FE3">
            <w:pPr>
              <w:jc w:val="right"/>
              <w:rPr>
                <w:rFonts w:ascii="Arial" w:hAnsi="Arial" w:cs="Arial"/>
                <w:color w:val="000000"/>
                <w:sz w:val="16"/>
                <w:szCs w:val="16"/>
              </w:rPr>
            </w:pPr>
            <w:r>
              <w:rPr>
                <w:rFonts w:ascii="Arial" w:hAnsi="Arial" w:cs="Arial"/>
                <w:color w:val="000000"/>
                <w:sz w:val="16"/>
                <w:szCs w:val="16"/>
              </w:rPr>
              <w:t>539,880</w:t>
            </w:r>
          </w:p>
        </w:tc>
        <w:tc>
          <w:tcPr>
            <w:tcW w:w="1943"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TERCEROS</w:t>
            </w:r>
          </w:p>
        </w:tc>
        <w:tc>
          <w:tcPr>
            <w:tcW w:w="2268" w:type="dxa"/>
            <w:tcBorders>
              <w:top w:val="nil"/>
              <w:left w:val="nil"/>
              <w:bottom w:val="single" w:sz="4" w:space="0" w:color="auto"/>
              <w:right w:val="single" w:sz="4" w:space="0" w:color="auto"/>
            </w:tcBorders>
            <w:shd w:val="clear" w:color="auto" w:fill="auto"/>
            <w:vAlign w:val="center"/>
            <w:hideMark/>
          </w:tcPr>
          <w:p w:rsidR="007C1FE3" w:rsidRDefault="007C1FE3" w:rsidP="007C1FE3">
            <w:pPr>
              <w:jc w:val="center"/>
              <w:rPr>
                <w:rFonts w:ascii="Arial" w:hAnsi="Arial" w:cs="Arial"/>
                <w:color w:val="000000"/>
                <w:sz w:val="16"/>
                <w:szCs w:val="16"/>
              </w:rPr>
            </w:pPr>
            <w:r>
              <w:rPr>
                <w:rFonts w:ascii="Arial" w:hAnsi="Arial" w:cs="Arial"/>
                <w:color w:val="000000"/>
                <w:sz w:val="16"/>
                <w:szCs w:val="16"/>
              </w:rPr>
              <w:t>PROFOCIE</w:t>
            </w:r>
          </w:p>
        </w:tc>
      </w:tr>
    </w:tbl>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10. Reporte de la Recaudación:</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Análisis del comportamiento de la recaudación correspondiente al ente público o cualquier tipo de ingreso, de forma separada los ingresos locales de los federales:</w:t>
      </w:r>
    </w:p>
    <w:p w:rsidR="005B2A02" w:rsidRDefault="005B2A02" w:rsidP="005B2A02">
      <w:pPr>
        <w:spacing w:after="0" w:line="240" w:lineRule="auto"/>
        <w:jc w:val="both"/>
        <w:rPr>
          <w:rFonts w:ascii="Trebuchet MS" w:hAnsi="Trebuchet MS"/>
          <w:b/>
          <w:sz w:val="20"/>
          <w:szCs w:val="20"/>
        </w:rPr>
      </w:pPr>
    </w:p>
    <w:tbl>
      <w:tblPr>
        <w:tblW w:w="7020" w:type="dxa"/>
        <w:jc w:val="center"/>
        <w:tblCellMar>
          <w:left w:w="70" w:type="dxa"/>
          <w:right w:w="70" w:type="dxa"/>
        </w:tblCellMar>
        <w:tblLook w:val="04A0" w:firstRow="1" w:lastRow="0" w:firstColumn="1" w:lastColumn="0" w:noHBand="0" w:noVBand="1"/>
      </w:tblPr>
      <w:tblGrid>
        <w:gridCol w:w="4980"/>
        <w:gridCol w:w="2040"/>
      </w:tblGrid>
      <w:tr w:rsidR="005B2A02" w:rsidRPr="00740414" w:rsidTr="00FD2855">
        <w:trPr>
          <w:trHeight w:val="300"/>
          <w:jc w:val="center"/>
        </w:trPr>
        <w:tc>
          <w:tcPr>
            <w:tcW w:w="4980" w:type="dxa"/>
            <w:tcBorders>
              <w:top w:val="single" w:sz="4" w:space="0" w:color="000000"/>
              <w:left w:val="nil"/>
              <w:bottom w:val="single" w:sz="4" w:space="0" w:color="000000"/>
              <w:right w:val="single" w:sz="4" w:space="0" w:color="000000"/>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xml:space="preserve">INGRESOS DE GESTION </w:t>
            </w:r>
          </w:p>
        </w:tc>
        <w:tc>
          <w:tcPr>
            <w:tcW w:w="2040" w:type="dxa"/>
            <w:tcBorders>
              <w:top w:val="single" w:sz="4" w:space="0" w:color="000000"/>
              <w:left w:val="nil"/>
              <w:bottom w:val="single" w:sz="4" w:space="0" w:color="000000"/>
              <w:right w:val="single" w:sz="4" w:space="0" w:color="000000"/>
            </w:tcBorders>
            <w:shd w:val="clear" w:color="auto" w:fill="auto"/>
            <w:hideMark/>
          </w:tcPr>
          <w:p w:rsidR="005B2A02" w:rsidRPr="00740414" w:rsidRDefault="007C1FE3" w:rsidP="00FD2855">
            <w:pPr>
              <w:spacing w:after="0" w:line="240" w:lineRule="auto"/>
              <w:jc w:val="right"/>
              <w:rPr>
                <w:rFonts w:ascii="Trebuchet MS" w:eastAsia="Times New Roman" w:hAnsi="Trebuchet MS"/>
                <w:b/>
                <w:bCs/>
                <w:color w:val="000000"/>
                <w:sz w:val="16"/>
                <w:szCs w:val="16"/>
                <w:lang w:eastAsia="es-MX"/>
              </w:rPr>
            </w:pPr>
            <w:r w:rsidRPr="007C1FE3">
              <w:rPr>
                <w:rFonts w:ascii="Trebuchet MS" w:eastAsia="Times New Roman" w:hAnsi="Trebuchet MS"/>
                <w:b/>
                <w:bCs/>
                <w:color w:val="000000"/>
                <w:sz w:val="16"/>
                <w:szCs w:val="16"/>
                <w:lang w:eastAsia="es-MX"/>
              </w:rPr>
              <w:t>360</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635</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362</w:t>
            </w:r>
          </w:p>
        </w:tc>
      </w:tr>
    </w:tbl>
    <w:p w:rsidR="005B2A02" w:rsidRDefault="005B2A02" w:rsidP="005B2A02">
      <w:pPr>
        <w:spacing w:after="0" w:line="240" w:lineRule="auto"/>
        <w:jc w:val="both"/>
        <w:rPr>
          <w:rFonts w:ascii="Trebuchet MS" w:hAnsi="Trebuchet MS"/>
          <w:b/>
          <w:sz w:val="20"/>
          <w:szCs w:val="20"/>
        </w:rPr>
      </w:pPr>
    </w:p>
    <w:p w:rsidR="005B2A02" w:rsidRDefault="005B2A02" w:rsidP="005B2A02">
      <w:pPr>
        <w:spacing w:after="0" w:line="240" w:lineRule="auto"/>
        <w:jc w:val="center"/>
      </w:pPr>
    </w:p>
    <w:p w:rsidR="005B2A02" w:rsidRDefault="005B2A02" w:rsidP="005B2A02">
      <w:pPr>
        <w:spacing w:after="0" w:line="240" w:lineRule="auto"/>
        <w:jc w:val="center"/>
      </w:pPr>
    </w:p>
    <w:tbl>
      <w:tblPr>
        <w:tblW w:w="9071" w:type="dxa"/>
        <w:tblInd w:w="75" w:type="dxa"/>
        <w:tblCellMar>
          <w:left w:w="70" w:type="dxa"/>
          <w:right w:w="70" w:type="dxa"/>
        </w:tblCellMar>
        <w:tblLook w:val="04A0" w:firstRow="1" w:lastRow="0" w:firstColumn="1" w:lastColumn="0" w:noHBand="0" w:noVBand="1"/>
      </w:tblPr>
      <w:tblGrid>
        <w:gridCol w:w="2268"/>
        <w:gridCol w:w="4535"/>
        <w:gridCol w:w="2268"/>
      </w:tblGrid>
      <w:tr w:rsidR="007C1FE3" w:rsidRPr="00740414" w:rsidTr="00FD2855">
        <w:trPr>
          <w:trHeight w:val="30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1FE3" w:rsidRDefault="007C1FE3" w:rsidP="007C1FE3">
            <w:pPr>
              <w:spacing w:after="0" w:line="240" w:lineRule="auto"/>
              <w:rPr>
                <w:rFonts w:ascii="Arial" w:hAnsi="Arial" w:cs="Arial"/>
                <w:color w:val="000000"/>
                <w:sz w:val="16"/>
                <w:szCs w:val="16"/>
                <w:lang w:eastAsia="es-MX"/>
              </w:rPr>
            </w:pPr>
            <w:r>
              <w:rPr>
                <w:rFonts w:ascii="Arial" w:hAnsi="Arial" w:cs="Arial"/>
                <w:color w:val="000000"/>
                <w:sz w:val="16"/>
                <w:szCs w:val="16"/>
              </w:rPr>
              <w:t>421308300002</w:t>
            </w:r>
          </w:p>
        </w:tc>
        <w:tc>
          <w:tcPr>
            <w:tcW w:w="4535" w:type="dxa"/>
            <w:tcBorders>
              <w:top w:val="single" w:sz="4" w:space="0" w:color="000000"/>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FEDERALES</w:t>
            </w:r>
          </w:p>
        </w:tc>
        <w:tc>
          <w:tcPr>
            <w:tcW w:w="2268" w:type="dxa"/>
            <w:tcBorders>
              <w:top w:val="single" w:sz="4" w:space="0" w:color="000000"/>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34,874,046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421308300003</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ESTATALES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33,781,561 </w:t>
            </w:r>
          </w:p>
        </w:tc>
      </w:tr>
      <w:tr w:rsidR="007C1FE3"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421308300004</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MUNICIPALES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   </w:t>
            </w:r>
          </w:p>
        </w:tc>
      </w:tr>
      <w:tr w:rsidR="007C1FE3"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lastRenderedPageBreak/>
              <w:t>421308300005</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INGRESOS POR PROYECTOS Y CONVENIOS INTERNACIONALES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793,131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421308300006</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PROYECTOS Y CONVENIOS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9,438,717 </w:t>
            </w:r>
          </w:p>
        </w:tc>
      </w:tr>
      <w:tr w:rsidR="007C1FE3" w:rsidRPr="00740414" w:rsidTr="00FD2855">
        <w:trPr>
          <w:trHeight w:val="6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421308300008</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TRANSFERENCIAS A FIDEICOMISOS, MANDATOS ANALOGOS</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16,217,756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422309100005</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ESTATAL EXTRAORDINARIO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422309300001</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FEDERAL 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1,599,580,899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422309300002</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FEDERAL EXTRAORDINARIO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132,926,804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422309300004</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SUBSIDIO ESTATAL ORDINARIO</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753,745,042 </w:t>
            </w:r>
          </w:p>
        </w:tc>
      </w:tr>
      <w:tr w:rsidR="007C1FE3" w:rsidRPr="00740414" w:rsidTr="00FD2855">
        <w:trPr>
          <w:trHeight w:val="3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422309100002</w:t>
            </w:r>
          </w:p>
        </w:tc>
        <w:tc>
          <w:tcPr>
            <w:tcW w:w="4535" w:type="dxa"/>
            <w:tcBorders>
              <w:top w:val="nil"/>
              <w:left w:val="nil"/>
              <w:bottom w:val="single" w:sz="4" w:space="0" w:color="000000"/>
              <w:right w:val="single" w:sz="4" w:space="0" w:color="000000"/>
            </w:tcBorders>
            <w:shd w:val="clear" w:color="auto" w:fill="auto"/>
            <w:vAlign w:val="center"/>
            <w:hideMark/>
          </w:tcPr>
          <w:p w:rsidR="007C1FE3" w:rsidRDefault="007C1FE3" w:rsidP="007C1FE3">
            <w:pPr>
              <w:rPr>
                <w:rFonts w:ascii="Arial" w:hAnsi="Arial" w:cs="Arial"/>
                <w:color w:val="000000"/>
                <w:sz w:val="16"/>
                <w:szCs w:val="16"/>
              </w:rPr>
            </w:pPr>
            <w:r>
              <w:rPr>
                <w:rFonts w:ascii="Arial" w:hAnsi="Arial" w:cs="Arial"/>
                <w:color w:val="000000"/>
                <w:sz w:val="16"/>
                <w:szCs w:val="16"/>
              </w:rPr>
              <w:t> APORTACIONES PDR   </w:t>
            </w:r>
          </w:p>
        </w:tc>
        <w:tc>
          <w:tcPr>
            <w:tcW w:w="2268" w:type="dxa"/>
            <w:tcBorders>
              <w:top w:val="nil"/>
              <w:left w:val="nil"/>
              <w:bottom w:val="single" w:sz="4" w:space="0" w:color="000000"/>
              <w:right w:val="single" w:sz="4" w:space="0" w:color="000000"/>
            </w:tcBorders>
            <w:shd w:val="clear" w:color="auto" w:fill="auto"/>
            <w:vAlign w:val="bottom"/>
            <w:hideMark/>
          </w:tcPr>
          <w:p w:rsidR="007C1FE3" w:rsidRDefault="007C1FE3" w:rsidP="007C1FE3">
            <w:pPr>
              <w:rPr>
                <w:rFonts w:ascii="Arial" w:hAnsi="Arial" w:cs="Arial"/>
                <w:color w:val="000000"/>
                <w:sz w:val="16"/>
                <w:szCs w:val="16"/>
              </w:rPr>
            </w:pPr>
            <w:r>
              <w:rPr>
                <w:rFonts w:ascii="Arial" w:hAnsi="Arial" w:cs="Arial"/>
                <w:color w:val="000000"/>
                <w:sz w:val="16"/>
                <w:szCs w:val="16"/>
              </w:rPr>
              <w:t xml:space="preserve">                      9,890,000 </w:t>
            </w:r>
          </w:p>
        </w:tc>
      </w:tr>
      <w:tr w:rsidR="005B2A02" w:rsidRPr="00740414" w:rsidTr="00FD2855">
        <w:trPr>
          <w:trHeight w:val="900"/>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 </w:t>
            </w:r>
          </w:p>
        </w:tc>
        <w:tc>
          <w:tcPr>
            <w:tcW w:w="4535" w:type="dxa"/>
            <w:tcBorders>
              <w:top w:val="nil"/>
              <w:left w:val="nil"/>
              <w:bottom w:val="single" w:sz="4" w:space="0" w:color="000000"/>
              <w:right w:val="single" w:sz="4" w:space="0" w:color="000000"/>
            </w:tcBorders>
            <w:shd w:val="clear" w:color="auto" w:fill="auto"/>
            <w:vAlign w:val="center"/>
            <w:hideMark/>
          </w:tcPr>
          <w:p w:rsidR="005B2A02" w:rsidRPr="00740414" w:rsidRDefault="005B2A02" w:rsidP="00FD2855">
            <w:pPr>
              <w:spacing w:after="0" w:line="240" w:lineRule="auto"/>
              <w:rPr>
                <w:rFonts w:ascii="Trebuchet MS" w:eastAsia="Times New Roman" w:hAnsi="Trebuchet MS"/>
                <w:b/>
                <w:bCs/>
                <w:color w:val="000000"/>
                <w:sz w:val="16"/>
                <w:szCs w:val="16"/>
                <w:lang w:eastAsia="es-MX"/>
              </w:rPr>
            </w:pPr>
            <w:r w:rsidRPr="00740414">
              <w:rPr>
                <w:rFonts w:ascii="Trebuchet MS" w:eastAsia="Times New Roman" w:hAnsi="Trebuchet MS"/>
                <w:b/>
                <w:bCs/>
                <w:color w:val="000000"/>
                <w:sz w:val="16"/>
                <w:szCs w:val="16"/>
                <w:lang w:eastAsia="es-MX"/>
              </w:rPr>
              <w:t>PARTICIPACIONES, APORTACIONES, TRANSFERENCIAS, ASIGNACIONES, SUBSIDIOS Y OTRAS AYUDAS</w:t>
            </w:r>
          </w:p>
        </w:tc>
        <w:tc>
          <w:tcPr>
            <w:tcW w:w="2268" w:type="dxa"/>
            <w:tcBorders>
              <w:top w:val="nil"/>
              <w:left w:val="nil"/>
              <w:bottom w:val="single" w:sz="4" w:space="0" w:color="000000"/>
              <w:right w:val="single" w:sz="4" w:space="0" w:color="000000"/>
            </w:tcBorders>
            <w:shd w:val="clear" w:color="auto" w:fill="auto"/>
            <w:vAlign w:val="center"/>
            <w:hideMark/>
          </w:tcPr>
          <w:p w:rsidR="005B2A02" w:rsidRPr="00740414" w:rsidRDefault="007C1FE3" w:rsidP="007C1FE3">
            <w:pPr>
              <w:spacing w:after="0" w:line="240" w:lineRule="auto"/>
              <w:ind w:right="437"/>
              <w:jc w:val="right"/>
              <w:rPr>
                <w:rFonts w:ascii="Trebuchet MS" w:eastAsia="Times New Roman" w:hAnsi="Trebuchet MS"/>
                <w:b/>
                <w:bCs/>
                <w:color w:val="000000"/>
                <w:sz w:val="16"/>
                <w:szCs w:val="16"/>
                <w:lang w:eastAsia="es-MX"/>
              </w:rPr>
            </w:pPr>
            <w:r w:rsidRPr="007C1FE3">
              <w:rPr>
                <w:rFonts w:ascii="Trebuchet MS" w:eastAsia="Times New Roman" w:hAnsi="Trebuchet MS"/>
                <w:b/>
                <w:bCs/>
                <w:color w:val="000000"/>
                <w:sz w:val="16"/>
                <w:szCs w:val="16"/>
                <w:lang w:eastAsia="es-MX"/>
              </w:rPr>
              <w:t>2</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602</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903</w:t>
            </w:r>
            <w:r>
              <w:rPr>
                <w:rFonts w:ascii="Trebuchet MS" w:eastAsia="Times New Roman" w:hAnsi="Trebuchet MS"/>
                <w:b/>
                <w:bCs/>
                <w:color w:val="000000"/>
                <w:sz w:val="16"/>
                <w:szCs w:val="16"/>
                <w:lang w:eastAsia="es-MX"/>
              </w:rPr>
              <w:t>,</w:t>
            </w:r>
            <w:r w:rsidRPr="007C1FE3">
              <w:rPr>
                <w:rFonts w:ascii="Trebuchet MS" w:eastAsia="Times New Roman" w:hAnsi="Trebuchet MS"/>
                <w:b/>
                <w:bCs/>
                <w:color w:val="000000"/>
                <w:sz w:val="16"/>
                <w:szCs w:val="16"/>
                <w:lang w:eastAsia="es-MX"/>
              </w:rPr>
              <w:t>988</w:t>
            </w:r>
          </w:p>
        </w:tc>
      </w:tr>
    </w:tbl>
    <w:p w:rsidR="005B2A02" w:rsidRPr="00F15FE1" w:rsidRDefault="005B2A02" w:rsidP="005B2A02">
      <w:pPr>
        <w:spacing w:after="0" w:line="240" w:lineRule="auto"/>
        <w:jc w:val="cente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Proyección de la recaudación e ingresos en el mediano plazo:</w:t>
      </w:r>
    </w:p>
    <w:p w:rsidR="005B2A02" w:rsidRPr="008878FA" w:rsidRDefault="005B2A02" w:rsidP="005B2A02">
      <w:pPr>
        <w:spacing w:after="0" w:line="240" w:lineRule="auto"/>
        <w:jc w:val="both"/>
        <w:rPr>
          <w:rFonts w:ascii="Trebuchet MS" w:hAnsi="Trebuchet MS"/>
          <w:sz w:val="20"/>
          <w:szCs w:val="20"/>
        </w:rPr>
      </w:pPr>
    </w:p>
    <w:tbl>
      <w:tblPr>
        <w:tblW w:w="4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1"/>
      </w:tblGrid>
      <w:tr w:rsidR="005B2A02" w:rsidRPr="00E66774" w:rsidTr="00FD2855">
        <w:trPr>
          <w:trHeight w:val="300"/>
          <w:jc w:val="center"/>
        </w:trPr>
        <w:tc>
          <w:tcPr>
            <w:tcW w:w="4381" w:type="dxa"/>
            <w:shd w:val="clear" w:color="auto" w:fill="auto"/>
            <w:vAlign w:val="bottom"/>
            <w:hideMark/>
          </w:tcPr>
          <w:p w:rsidR="005B2A02" w:rsidRPr="00E66774" w:rsidRDefault="005B2A02" w:rsidP="00FD2855">
            <w:pPr>
              <w:spacing w:after="0" w:line="240" w:lineRule="auto"/>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Cuenta</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4173 Ingresos por venta de Bienes y Servicios</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4213 Convenios</w:t>
            </w:r>
          </w:p>
        </w:tc>
      </w:tr>
      <w:tr w:rsidR="005B2A02" w:rsidRPr="00E66774" w:rsidTr="00FD2855">
        <w:trPr>
          <w:trHeight w:val="300"/>
          <w:jc w:val="center"/>
        </w:trPr>
        <w:tc>
          <w:tcPr>
            <w:tcW w:w="4381" w:type="dxa"/>
            <w:shd w:val="clear" w:color="auto" w:fill="auto"/>
            <w:noWrap/>
            <w:vAlign w:val="bottom"/>
            <w:hideMark/>
          </w:tcPr>
          <w:p w:rsidR="005B2A02" w:rsidRPr="00E66774" w:rsidRDefault="005B2A02" w:rsidP="00FD2855">
            <w:pPr>
              <w:spacing w:after="0" w:line="240" w:lineRule="auto"/>
              <w:outlineLvl w:val="0"/>
              <w:rPr>
                <w:rFonts w:ascii="Trebuchet MS" w:eastAsia="Times New Roman" w:hAnsi="Trebuchet MS" w:cs="Calibri"/>
                <w:b/>
                <w:bCs/>
                <w:color w:val="000000"/>
                <w:sz w:val="20"/>
                <w:szCs w:val="20"/>
                <w:lang w:eastAsia="es-MX"/>
              </w:rPr>
            </w:pPr>
            <w:r>
              <w:rPr>
                <w:rFonts w:ascii="Trebuchet MS" w:eastAsia="Times New Roman" w:hAnsi="Trebuchet MS" w:cs="Calibri"/>
                <w:b/>
                <w:bCs/>
                <w:color w:val="000000"/>
                <w:sz w:val="20"/>
                <w:szCs w:val="20"/>
                <w:lang w:eastAsia="es-MX"/>
              </w:rPr>
              <w:t>4223 Subsidios y Subvenciones</w:t>
            </w:r>
          </w:p>
        </w:tc>
      </w:tr>
      <w:tr w:rsidR="005B2A02" w:rsidRPr="00115509" w:rsidTr="00FD2855">
        <w:trPr>
          <w:trHeight w:val="300"/>
          <w:jc w:val="center"/>
        </w:trPr>
        <w:tc>
          <w:tcPr>
            <w:tcW w:w="4381" w:type="dxa"/>
            <w:shd w:val="clear" w:color="auto" w:fill="auto"/>
            <w:noWrap/>
            <w:vAlign w:val="bottom"/>
            <w:hideMark/>
          </w:tcPr>
          <w:p w:rsidR="005B2A02" w:rsidRPr="00115509" w:rsidRDefault="005B2A02" w:rsidP="00FD2855">
            <w:pPr>
              <w:spacing w:after="0" w:line="240" w:lineRule="auto"/>
              <w:outlineLvl w:val="0"/>
              <w:rPr>
                <w:rFonts w:ascii="Trebuchet MS" w:eastAsia="Times New Roman" w:hAnsi="Trebuchet MS" w:cs="Calibri"/>
                <w:b/>
                <w:bCs/>
                <w:color w:val="000000"/>
                <w:sz w:val="20"/>
                <w:szCs w:val="20"/>
                <w:lang w:eastAsia="es-MX"/>
              </w:rPr>
            </w:pPr>
            <w:r w:rsidRPr="00E66774">
              <w:rPr>
                <w:rFonts w:ascii="Trebuchet MS" w:eastAsia="Times New Roman" w:hAnsi="Trebuchet MS" w:cs="Calibri"/>
                <w:b/>
                <w:bCs/>
                <w:color w:val="000000"/>
                <w:sz w:val="20"/>
                <w:szCs w:val="20"/>
                <w:lang w:eastAsia="es-MX"/>
              </w:rPr>
              <w:t xml:space="preserve"> 4311 Intereses Ganados de Valores, Créditos, Bonos  y Otros</w:t>
            </w:r>
          </w:p>
        </w:tc>
      </w:tr>
    </w:tbl>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11. Información sobre la Deuda y el Reporte Analítico de la Deuda: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lo siguiente:</w:t>
      </w:r>
    </w:p>
    <w:p w:rsidR="005B2A02" w:rsidRPr="008878FA" w:rsidRDefault="005B2A02" w:rsidP="005B2A02">
      <w:pPr>
        <w:spacing w:after="0" w:line="240" w:lineRule="auto"/>
        <w:jc w:val="both"/>
        <w:rPr>
          <w:rFonts w:ascii="Trebuchet MS" w:hAnsi="Trebuchet MS"/>
          <w:sz w:val="20"/>
          <w:szCs w:val="20"/>
        </w:rPr>
      </w:pPr>
    </w:p>
    <w:p w:rsidR="005B2A02"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Utilizar al menos los siguientes indicadores: deuda respecto al PIB y deuda respecto a la recaudación tomando, como mínimo, un período igual o menor a 5 años.</w:t>
      </w:r>
    </w:p>
    <w:p w:rsidR="005B2A02" w:rsidRPr="008878FA" w:rsidRDefault="005B2A02" w:rsidP="005B2A02">
      <w:pPr>
        <w:spacing w:after="0" w:line="240" w:lineRule="auto"/>
        <w:jc w:val="both"/>
        <w:rPr>
          <w:rFonts w:ascii="Trebuchet MS" w:hAnsi="Trebuchet MS"/>
          <w:sz w:val="20"/>
          <w:szCs w:val="20"/>
        </w:rPr>
      </w:pPr>
      <w:r>
        <w:rPr>
          <w:rFonts w:ascii="Trebuchet MS" w:hAnsi="Trebuchet MS"/>
          <w:sz w:val="20"/>
          <w:szCs w:val="20"/>
        </w:rPr>
        <w:t>No aplica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Información de manera agrupada por tipo de valor gubernamental o instrumento financiero en la que se considere intereses, comisiones, tasa, perfil de vencimiento y otros gastos de la deuda.</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12. Calificaciones otorgadas: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Informar, tanto del ente público como cualquier transacción realizada, que haya sido sujeta a una calificación crediticia:</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t>No aplica</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13. Proceso de Mejora:</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informará de: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a)</w:t>
      </w:r>
      <w:r w:rsidRPr="008878FA">
        <w:rPr>
          <w:rFonts w:ascii="Trebuchet MS" w:hAnsi="Trebuchet MS"/>
          <w:sz w:val="20"/>
          <w:szCs w:val="20"/>
        </w:rPr>
        <w:t xml:space="preserve"> Principales Políticas de control interno:</w:t>
      </w:r>
    </w:p>
    <w:p w:rsidR="005B2A02" w:rsidRPr="00D24EBC" w:rsidRDefault="005B2A02" w:rsidP="005B2A02">
      <w:pPr>
        <w:jc w:val="both"/>
        <w:rPr>
          <w:rFonts w:ascii="Trebuchet MS" w:hAnsi="Trebuchet MS" w:cs="Arial"/>
          <w:sz w:val="20"/>
          <w:szCs w:val="20"/>
        </w:rPr>
      </w:pPr>
      <w:r w:rsidRPr="00115509">
        <w:rPr>
          <w:rFonts w:ascii="Trebuchet MS" w:hAnsi="Trebuchet MS" w:cs="Arial"/>
          <w:sz w:val="20"/>
          <w:szCs w:val="20"/>
        </w:rPr>
        <w:lastRenderedPageBreak/>
        <w:t>“</w:t>
      </w:r>
      <w:r w:rsidRPr="004A0632">
        <w:rPr>
          <w:rFonts w:ascii="Trebuchet MS" w:hAnsi="Trebuchet MS" w:cs="Arial"/>
          <w:sz w:val="20"/>
          <w:szCs w:val="20"/>
        </w:rPr>
        <w:t>Lineamientos para el ejercicio y control de los recursos públicos en el cumplimiento de las funciones de la Universidad de Guanajuato para el año 201</w:t>
      </w:r>
      <w:r>
        <w:rPr>
          <w:rFonts w:ascii="Trebuchet MS" w:hAnsi="Trebuchet MS" w:cs="Arial"/>
          <w:sz w:val="20"/>
          <w:szCs w:val="20"/>
        </w:rPr>
        <w:t>6</w:t>
      </w:r>
      <w:r w:rsidRPr="00115509">
        <w:rPr>
          <w:rFonts w:ascii="Trebuchet MS" w:hAnsi="Trebuchet MS" w:cs="Arial"/>
          <w:sz w:val="20"/>
          <w:szCs w:val="20"/>
        </w:rPr>
        <w:t>”</w:t>
      </w: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b/>
          <w:sz w:val="20"/>
          <w:szCs w:val="20"/>
        </w:rPr>
        <w:t>b)</w:t>
      </w:r>
      <w:r w:rsidRPr="008878FA">
        <w:rPr>
          <w:rFonts w:ascii="Trebuchet MS" w:hAnsi="Trebuchet MS"/>
          <w:sz w:val="20"/>
          <w:szCs w:val="20"/>
        </w:rPr>
        <w:t xml:space="preserve"> Medidas de desempeño financiero, metas y alcance:</w:t>
      </w:r>
    </w:p>
    <w:p w:rsidR="005B2A02" w:rsidRPr="00D24EBC" w:rsidRDefault="005B2A02" w:rsidP="005B2A02">
      <w:pPr>
        <w:jc w:val="both"/>
        <w:rPr>
          <w:rFonts w:ascii="Trebuchet MS" w:hAnsi="Trebuchet MS" w:cs="Arial"/>
          <w:sz w:val="20"/>
          <w:szCs w:val="20"/>
        </w:rPr>
      </w:pPr>
      <w:r>
        <w:rPr>
          <w:rFonts w:ascii="Trebuchet MS" w:hAnsi="Trebuchet MS" w:cs="Arial"/>
          <w:sz w:val="20"/>
          <w:szCs w:val="20"/>
        </w:rPr>
        <w:t>No aplica para el periodo</w:t>
      </w: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14. Información por Segmentos: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Consecuentemente, esta información contribuye al análisis más preciso de la situación financiera, grados y fuentes de riesgo y crecimiento potencial de negocio.</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15. Eventos Posteriores al Cierre: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El ente público informará el efecto en sus estados financieros de aquellos hechos ocurridos en el per</w:t>
      </w:r>
      <w:r>
        <w:rPr>
          <w:rFonts w:ascii="Trebuchet MS" w:hAnsi="Trebuchet MS"/>
          <w:sz w:val="20"/>
          <w:szCs w:val="20"/>
        </w:rPr>
        <w:t>i</w:t>
      </w:r>
      <w:r w:rsidRPr="008878FA">
        <w:rPr>
          <w:rFonts w:ascii="Trebuchet MS" w:hAnsi="Trebuchet MS"/>
          <w:sz w:val="20"/>
          <w:szCs w:val="20"/>
        </w:rPr>
        <w:t>odo posterior al que informa, que proporcionan mayor evidencia sobre eventos que le afectan  económicamente y que no se cono</w:t>
      </w:r>
      <w:r>
        <w:rPr>
          <w:rFonts w:ascii="Trebuchet MS" w:hAnsi="Trebuchet MS"/>
          <w:sz w:val="20"/>
          <w:szCs w:val="20"/>
        </w:rPr>
        <w:t>cían a la fecha de cierre.</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16. Partes Relacionadas: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Se debe establecer por escrito que no existen partes relacionadas que pudieran ejercer influencia significativa sobre la toma de decisiones financieras y operativas: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b/>
          <w:sz w:val="20"/>
          <w:szCs w:val="20"/>
        </w:rPr>
      </w:pPr>
      <w:r w:rsidRPr="008878FA">
        <w:rPr>
          <w:rFonts w:ascii="Trebuchet MS" w:hAnsi="Trebuchet MS"/>
          <w:b/>
          <w:sz w:val="20"/>
          <w:szCs w:val="20"/>
        </w:rPr>
        <w:t>17. Responsabilidad sobre la presentación razonable de los Estados Financieros:</w:t>
      </w:r>
    </w:p>
    <w:p w:rsidR="005B2A02" w:rsidRPr="008878FA" w:rsidRDefault="005B2A02" w:rsidP="005B2A02">
      <w:pPr>
        <w:spacing w:after="0" w:line="240" w:lineRule="auto"/>
        <w:jc w:val="both"/>
        <w:rPr>
          <w:rFonts w:ascii="Trebuchet MS" w:hAnsi="Trebuchet MS"/>
          <w:sz w:val="20"/>
          <w:szCs w:val="20"/>
        </w:rPr>
      </w:pPr>
    </w:p>
    <w:p w:rsidR="005B2A02" w:rsidRPr="008878FA" w:rsidRDefault="005B2A02" w:rsidP="005B2A02">
      <w:pPr>
        <w:spacing w:after="0" w:line="240" w:lineRule="auto"/>
        <w:jc w:val="both"/>
        <w:rPr>
          <w:rFonts w:ascii="Trebuchet MS" w:hAnsi="Trebuchet MS"/>
          <w:sz w:val="20"/>
          <w:szCs w:val="20"/>
        </w:rPr>
      </w:pPr>
      <w:r w:rsidRPr="008878FA">
        <w:rPr>
          <w:rFonts w:ascii="Trebuchet MS" w:hAnsi="Trebuchet MS"/>
          <w:sz w:val="20"/>
          <w:szCs w:val="20"/>
        </w:rPr>
        <w:t>Los Estados Financieros deberán estar rubricados en cada página de los mismos e incluir al final la siguiente leyenda: “Bajo protesta de decir verdad declaramos que los Estados Financieros y sus notas, son razonablemente correctos y son responsabilidad del emisor.</w:t>
      </w:r>
    </w:p>
    <w:p w:rsidR="005B2A02" w:rsidRPr="00E74967" w:rsidRDefault="005B2A02" w:rsidP="005B2A02">
      <w:pPr>
        <w:spacing w:after="0" w:line="240" w:lineRule="auto"/>
        <w:jc w:val="center"/>
        <w:rPr>
          <w:rFonts w:cs="Calibri"/>
          <w:b/>
          <w:sz w:val="28"/>
          <w:szCs w:val="28"/>
        </w:rPr>
      </w:pPr>
    </w:p>
    <w:p w:rsidR="008E076C" w:rsidRPr="00657009" w:rsidRDefault="008E076C" w:rsidP="00657009">
      <w:pPr>
        <w:spacing w:after="0" w:line="240" w:lineRule="auto"/>
        <w:jc w:val="center"/>
        <w:rPr>
          <w:rFonts w:ascii="Times New Roman" w:hAnsi="Times New Roman"/>
          <w:sz w:val="24"/>
          <w:szCs w:val="24"/>
        </w:rPr>
      </w:pPr>
    </w:p>
    <w:sectPr w:rsidR="008E076C" w:rsidRPr="00657009" w:rsidSect="00657009">
      <w:headerReference w:type="default" r:id="rId12"/>
      <w:pgSz w:w="12240" w:h="15840"/>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79A8" w:rsidRDefault="001B79A8" w:rsidP="00E00323">
      <w:pPr>
        <w:spacing w:after="0" w:line="240" w:lineRule="auto"/>
      </w:pPr>
      <w:r>
        <w:separator/>
      </w:r>
    </w:p>
  </w:endnote>
  <w:endnote w:type="continuationSeparator" w:id="0">
    <w:p w:rsidR="001B79A8" w:rsidRDefault="001B79A8" w:rsidP="00E00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79A8" w:rsidRDefault="001B79A8" w:rsidP="00E00323">
      <w:pPr>
        <w:spacing w:after="0" w:line="240" w:lineRule="auto"/>
      </w:pPr>
      <w:r>
        <w:separator/>
      </w:r>
    </w:p>
  </w:footnote>
  <w:footnote w:type="continuationSeparator" w:id="0">
    <w:p w:rsidR="001B79A8" w:rsidRDefault="001B79A8" w:rsidP="00E00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2589" w:rsidRDefault="00052589" w:rsidP="00052589">
    <w:pPr>
      <w:pStyle w:val="Encabezado"/>
      <w:jc w:val="center"/>
    </w:pPr>
    <w:r>
      <w:t>UNIVERSIDAD DE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351BCF"/>
    <w:multiLevelType w:val="hybridMultilevel"/>
    <w:tmpl w:val="B05A22FC"/>
    <w:lvl w:ilvl="0" w:tplc="049AF4D2">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55E79C2"/>
    <w:multiLevelType w:val="hybridMultilevel"/>
    <w:tmpl w:val="E9EE06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D1E2362"/>
    <w:multiLevelType w:val="hybridMultilevel"/>
    <w:tmpl w:val="0B2273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5EDB4E35"/>
    <w:multiLevelType w:val="hybridMultilevel"/>
    <w:tmpl w:val="FC18C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72771423"/>
    <w:multiLevelType w:val="hybridMultilevel"/>
    <w:tmpl w:val="A02090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73833329"/>
    <w:multiLevelType w:val="hybridMultilevel"/>
    <w:tmpl w:val="055A8E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76"/>
    <w:rsid w:val="00052589"/>
    <w:rsid w:val="000A6CAA"/>
    <w:rsid w:val="000B7810"/>
    <w:rsid w:val="000E4772"/>
    <w:rsid w:val="00100EEB"/>
    <w:rsid w:val="00154BA3"/>
    <w:rsid w:val="001973A2"/>
    <w:rsid w:val="001B79A8"/>
    <w:rsid w:val="001C75F2"/>
    <w:rsid w:val="001D2063"/>
    <w:rsid w:val="001E2879"/>
    <w:rsid w:val="004C0E86"/>
    <w:rsid w:val="00581272"/>
    <w:rsid w:val="005B2A02"/>
    <w:rsid w:val="005D3E43"/>
    <w:rsid w:val="005E231E"/>
    <w:rsid w:val="00657009"/>
    <w:rsid w:val="00681C79"/>
    <w:rsid w:val="00683679"/>
    <w:rsid w:val="007714AB"/>
    <w:rsid w:val="007C1FE3"/>
    <w:rsid w:val="007D1E76"/>
    <w:rsid w:val="007F1CBA"/>
    <w:rsid w:val="007F2D54"/>
    <w:rsid w:val="008E076C"/>
    <w:rsid w:val="00B653AE"/>
    <w:rsid w:val="00B80DC1"/>
    <w:rsid w:val="00E00323"/>
    <w:rsid w:val="00E74967"/>
    <w:rsid w:val="00EA7915"/>
    <w:rsid w:val="00F9481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A9465"/>
  <w15:chartTrackingRefBased/>
  <w15:docId w15:val="{655F489C-CDC8-4B34-B99B-0898D4447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5B2A02"/>
    <w:pPr>
      <w:autoSpaceDE w:val="0"/>
      <w:autoSpaceDN w:val="0"/>
      <w:adjustRightInd w:val="0"/>
    </w:pPr>
    <w:rPr>
      <w:rFonts w:ascii="Arial" w:hAnsi="Arial" w:cs="Arial"/>
      <w:color w:val="000000"/>
      <w:sz w:val="24"/>
      <w:szCs w:val="24"/>
    </w:rPr>
  </w:style>
  <w:style w:type="paragraph" w:customStyle="1" w:styleId="Texto">
    <w:name w:val="Texto"/>
    <w:basedOn w:val="Default"/>
    <w:next w:val="Default"/>
    <w:uiPriority w:val="99"/>
    <w:rsid w:val="005B2A02"/>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gto.mx/images/pdf/normatividad/ley-organica-universidad-guanajuato.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7D1D-7B26-4C84-8CFA-A844BC178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3902</Words>
  <Characters>21464</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25316</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a.ramirezpena</cp:lastModifiedBy>
  <cp:revision>3</cp:revision>
  <dcterms:created xsi:type="dcterms:W3CDTF">2017-02-28T16:44:00Z</dcterms:created>
  <dcterms:modified xsi:type="dcterms:W3CDTF">2017-02-28T17:02:00Z</dcterms:modified>
</cp:coreProperties>
</file>