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02D74172" w:rsidR="007D1E76" w:rsidRPr="00E74967" w:rsidRDefault="00D75307" w:rsidP="00F067C8">
      <w:pPr>
        <w:tabs>
          <w:tab w:val="left" w:leader="underscore" w:pos="9639"/>
        </w:tabs>
        <w:spacing w:after="0" w:line="240" w:lineRule="auto"/>
        <w:jc w:val="center"/>
        <w:rPr>
          <w:rFonts w:cs="Calibri"/>
        </w:rPr>
      </w:pPr>
      <w:r>
        <w:rPr>
          <w:rFonts w:cs="Calibri"/>
        </w:rPr>
        <w:t>31/12/2024</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A0180C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6481B">
              <w:rPr>
                <w:noProof/>
                <w:webHidden/>
              </w:rPr>
              <w:t>2</w:t>
            </w:r>
            <w:r w:rsidR="005F51CC">
              <w:rPr>
                <w:noProof/>
                <w:webHidden/>
              </w:rPr>
              <w:fldChar w:fldCharType="end"/>
            </w:r>
          </w:hyperlink>
        </w:p>
        <w:p w14:paraId="6A6756CA" w14:textId="614C595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6481B">
              <w:rPr>
                <w:noProof/>
                <w:webHidden/>
              </w:rPr>
              <w:t>3</w:t>
            </w:r>
            <w:r>
              <w:rPr>
                <w:noProof/>
                <w:webHidden/>
              </w:rPr>
              <w:fldChar w:fldCharType="end"/>
            </w:r>
          </w:hyperlink>
        </w:p>
        <w:p w14:paraId="19796F35" w14:textId="60D0660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6481B">
              <w:rPr>
                <w:noProof/>
                <w:webHidden/>
              </w:rPr>
              <w:t>3</w:t>
            </w:r>
            <w:r>
              <w:rPr>
                <w:noProof/>
                <w:webHidden/>
              </w:rPr>
              <w:fldChar w:fldCharType="end"/>
            </w:r>
          </w:hyperlink>
        </w:p>
        <w:p w14:paraId="62AC0657" w14:textId="2B11DBB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6481B">
              <w:rPr>
                <w:noProof/>
                <w:webHidden/>
              </w:rPr>
              <w:t>7</w:t>
            </w:r>
            <w:r>
              <w:rPr>
                <w:noProof/>
                <w:webHidden/>
              </w:rPr>
              <w:fldChar w:fldCharType="end"/>
            </w:r>
          </w:hyperlink>
        </w:p>
        <w:p w14:paraId="7C7C1962" w14:textId="2D2D27A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6481B">
              <w:rPr>
                <w:noProof/>
                <w:webHidden/>
              </w:rPr>
              <w:t>8</w:t>
            </w:r>
            <w:r>
              <w:rPr>
                <w:noProof/>
                <w:webHidden/>
              </w:rPr>
              <w:fldChar w:fldCharType="end"/>
            </w:r>
          </w:hyperlink>
        </w:p>
        <w:p w14:paraId="3FE6C661" w14:textId="6CFF941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6481B">
              <w:rPr>
                <w:noProof/>
                <w:webHidden/>
              </w:rPr>
              <w:t>13</w:t>
            </w:r>
            <w:r>
              <w:rPr>
                <w:noProof/>
                <w:webHidden/>
              </w:rPr>
              <w:fldChar w:fldCharType="end"/>
            </w:r>
          </w:hyperlink>
        </w:p>
        <w:p w14:paraId="135541CC" w14:textId="138F0B5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6481B">
              <w:rPr>
                <w:noProof/>
                <w:webHidden/>
              </w:rPr>
              <w:t>14</w:t>
            </w:r>
            <w:r>
              <w:rPr>
                <w:noProof/>
                <w:webHidden/>
              </w:rPr>
              <w:fldChar w:fldCharType="end"/>
            </w:r>
          </w:hyperlink>
        </w:p>
        <w:p w14:paraId="48C9D852" w14:textId="6AAAEB1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6481B">
              <w:rPr>
                <w:noProof/>
                <w:webHidden/>
              </w:rPr>
              <w:t>16</w:t>
            </w:r>
            <w:r>
              <w:rPr>
                <w:noProof/>
                <w:webHidden/>
              </w:rPr>
              <w:fldChar w:fldCharType="end"/>
            </w:r>
          </w:hyperlink>
        </w:p>
        <w:p w14:paraId="027C97E3" w14:textId="0C7B4F5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6481B">
              <w:rPr>
                <w:noProof/>
                <w:webHidden/>
              </w:rPr>
              <w:t>17</w:t>
            </w:r>
            <w:r>
              <w:rPr>
                <w:noProof/>
                <w:webHidden/>
              </w:rPr>
              <w:fldChar w:fldCharType="end"/>
            </w:r>
          </w:hyperlink>
        </w:p>
        <w:p w14:paraId="00DB87A1" w14:textId="1AD2C39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6481B">
              <w:rPr>
                <w:noProof/>
                <w:webHidden/>
              </w:rPr>
              <w:t>18</w:t>
            </w:r>
            <w:r>
              <w:rPr>
                <w:noProof/>
                <w:webHidden/>
              </w:rPr>
              <w:fldChar w:fldCharType="end"/>
            </w:r>
          </w:hyperlink>
        </w:p>
        <w:p w14:paraId="00EEECC2" w14:textId="4A8E74B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6481B">
              <w:rPr>
                <w:noProof/>
                <w:webHidden/>
              </w:rPr>
              <w:t>18</w:t>
            </w:r>
            <w:r>
              <w:rPr>
                <w:noProof/>
                <w:webHidden/>
              </w:rPr>
              <w:fldChar w:fldCharType="end"/>
            </w:r>
          </w:hyperlink>
        </w:p>
        <w:p w14:paraId="68FD7A9A" w14:textId="3143040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6481B">
              <w:rPr>
                <w:noProof/>
                <w:webHidden/>
              </w:rPr>
              <w:t>18</w:t>
            </w:r>
            <w:r>
              <w:rPr>
                <w:noProof/>
                <w:webHidden/>
              </w:rPr>
              <w:fldChar w:fldCharType="end"/>
            </w:r>
          </w:hyperlink>
        </w:p>
        <w:p w14:paraId="5F55527F" w14:textId="7AA002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6481B">
              <w:rPr>
                <w:noProof/>
                <w:webHidden/>
              </w:rPr>
              <w:t>18</w:t>
            </w:r>
            <w:r>
              <w:rPr>
                <w:noProof/>
                <w:webHidden/>
              </w:rPr>
              <w:fldChar w:fldCharType="end"/>
            </w:r>
          </w:hyperlink>
        </w:p>
        <w:p w14:paraId="674ABB69" w14:textId="362A789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6481B">
              <w:rPr>
                <w:noProof/>
                <w:webHidden/>
              </w:rPr>
              <w:t>18</w:t>
            </w:r>
            <w:r>
              <w:rPr>
                <w:noProof/>
                <w:webHidden/>
              </w:rPr>
              <w:fldChar w:fldCharType="end"/>
            </w:r>
          </w:hyperlink>
        </w:p>
        <w:p w14:paraId="39048CDA" w14:textId="4B07F35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6481B">
              <w:rPr>
                <w:noProof/>
                <w:webHidden/>
              </w:rPr>
              <w:t>20</w:t>
            </w:r>
            <w:r>
              <w:rPr>
                <w:noProof/>
                <w:webHidden/>
              </w:rPr>
              <w:fldChar w:fldCharType="end"/>
            </w:r>
          </w:hyperlink>
        </w:p>
        <w:p w14:paraId="7E9C5BA3" w14:textId="65AA463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6481B">
              <w:rPr>
                <w:noProof/>
                <w:webHidden/>
              </w:rPr>
              <w:t>20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AEF85FF" w14:textId="4D38ABCE" w:rsidR="00BF5046" w:rsidRPr="00BF5046" w:rsidRDefault="00BF5046" w:rsidP="001A65D3">
      <w:pPr>
        <w:jc w:val="both"/>
        <w:rPr>
          <w:rFonts w:ascii="Trebuchet MS" w:hAnsi="Trebuchet MS" w:cs="Arial"/>
          <w:sz w:val="20"/>
          <w:szCs w:val="20"/>
        </w:rPr>
      </w:pPr>
      <w:r w:rsidRPr="00BF5046">
        <w:rPr>
          <w:rFonts w:ascii="Trebuchet MS" w:hAnsi="Trebuchet MS" w:cs="Arial"/>
          <w:sz w:val="20"/>
          <w:szCs w:val="20"/>
        </w:rPr>
        <w:t>La Universidad de Guanajuato, con 292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cual en 1945 se transforma en Universidad de Guanajuato.</w:t>
      </w:r>
    </w:p>
    <w:p w14:paraId="2CFAD5A1" w14:textId="1223DDAC"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En su carácter de universidad pública estatal logró el reconocimiento de su autonomía en el año 1994 y, con ello, su capacidad para autogobernarse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5EC56379" w14:textId="04FBCF2D"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0FDCE0FB" w14:textId="4B47B3F5"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reconoce la necesidad de conformar una estructura idónea para sustentar la evolución favorable de la vida académica y la operatividad institucional.</w:t>
      </w:r>
    </w:p>
    <w:p w14:paraId="1C215DA9" w14:textId="66DB0B2F" w:rsidR="001A65D3"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2 de octubre de 2018 y entró en vigor el 1 de enero de 2019, con la finalidad de responder mejor a las necesidades actuales de la institución.</w:t>
      </w:r>
    </w:p>
    <w:p w14:paraId="7C4903FB"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FECB4A5" w14:textId="77777777" w:rsidR="00BF5046" w:rsidRPr="00BF5046" w:rsidRDefault="00BF5046" w:rsidP="00BF5046">
      <w:pPr>
        <w:shd w:val="clear" w:color="auto" w:fill="FFFFFF"/>
        <w:jc w:val="both"/>
        <w:textAlignment w:val="baseline"/>
        <w:rPr>
          <w:rFonts w:ascii="Trebuchet MS" w:hAnsi="Trebuchet MS" w:cs="Arial"/>
          <w:sz w:val="20"/>
          <w:szCs w:val="20"/>
        </w:rPr>
      </w:pPr>
    </w:p>
    <w:p w14:paraId="3ADF6B9A" w14:textId="71C14B74"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organización institucional multicampus, que entra en vigor en el año 2008, hoy permite que la Universidad de Guanajuato continúe su transformación ascendente, a través del compromiso resuelto y el trabajo denodado de una comunidad universitaria de casi 57,000 integrantes, que se realiza en 13 escuelas del Colegio del Nivel Medio Superior, así como 13 divisiones y 53 departamentos de los cuatro campus del subsistema de nivel superior.</w:t>
      </w:r>
    </w:p>
    <w:p w14:paraId="282FCD76"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44FD74B5"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Desde la reestructura académica de 2008, se han titulado casi 53,000 personas, sólo en 2024 se titularon más de 5,000 egresados de las 232 oportunidades de formación que ofrecen los 198 programas educativos de nivel medio superior, nivel medio superior terminal, de técnico superior universitario, licenciatura posgrado, en todas las áreas del conocimiento. El 100% de la matrícula de licenciatura está inscrita en programas reconocidos por su calidad.</w:t>
      </w:r>
    </w:p>
    <w:p w14:paraId="3C06F01E"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UG es un referente nacional e internacional en el ámbito de la cultura, con más de 2,000 actividades artísticas y culturales realizadas anualmente en beneficio de más de tres millones de personas; en el ámbito de la investigación, con 118 patentes de alto impacto social, casi 1,400 registros de derecho de autor acumulados desde 2008, así como y más de mil proyectos de investigación registrados anualmente por la planta académica, distribuida en 124 Cuerpos Académicos, 64 de ellos consolidados; en la vinculación interinstitucional, a través de 336 convenios de colaboración establecidos con prestigiosas universidades de México y del mundo, 93 nacionales y 243 con instituciones extranjeras de 29 países de América, Asia y Europa; así como en su compromiso social, con casi 9,000 acciones de servicio social en beneficio de casi 4,000 organizaciones de todos los sectores sociales.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4FFFF8FD" w14:textId="29A625CB"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77777777"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del Consejo Nacional de Humanidades, Ciencias y Tecnología (CONAHCyT), Instituto de Innovación,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lastRenderedPageBreak/>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3931E56D"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La información que se incluye en estas notas corresponde a los ejercicios que concluyeron el 31 de diciembre de 2024 y 2023.</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5F839ECF" w14:textId="77777777" w:rsidR="00BF5046" w:rsidRDefault="00BF5046" w:rsidP="00CB41C4">
      <w:pPr>
        <w:tabs>
          <w:tab w:val="left" w:leader="underscore" w:pos="9639"/>
        </w:tabs>
        <w:spacing w:after="0" w:line="240" w:lineRule="auto"/>
        <w:jc w:val="both"/>
        <w:rPr>
          <w:rFonts w:cs="Calibri"/>
        </w:rPr>
      </w:pPr>
    </w:p>
    <w:p w14:paraId="0AB7246D" w14:textId="77777777" w:rsidR="00BF5046" w:rsidRPr="00A9250B" w:rsidRDefault="00BF5046" w:rsidP="00BF5046">
      <w:pPr>
        <w:pStyle w:val="Prrafodelista"/>
        <w:numPr>
          <w:ilvl w:val="0"/>
          <w:numId w:val="16"/>
        </w:numPr>
        <w:tabs>
          <w:tab w:val="left" w:leader="underscore" w:pos="9639"/>
        </w:tabs>
        <w:spacing w:after="0" w:line="240" w:lineRule="auto"/>
        <w:jc w:val="both"/>
      </w:pPr>
      <w:r w:rsidRPr="00A9250B">
        <w:t>Régimen fiscal –</w:t>
      </w:r>
    </w:p>
    <w:p w14:paraId="2EFD2A90" w14:textId="77777777" w:rsidR="00BF5046" w:rsidRPr="00C435D4" w:rsidRDefault="00BF5046" w:rsidP="00BF5046">
      <w:pPr>
        <w:tabs>
          <w:tab w:val="left" w:leader="underscore" w:pos="9639"/>
        </w:tabs>
        <w:jc w:val="both"/>
      </w:pP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3A7BAB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lastRenderedPageBreak/>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09D020E"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Fondo para el Fomento de la Seguridad Integral y Apoyo en caso de Contingencias que Resientan los Alumnos de la Universidad de Guanajuato. </w:t>
      </w:r>
    </w:p>
    <w:p w14:paraId="42648CDB"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FIDEICOMISO FOBECA – UG.</w:t>
      </w: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36922280" w:rsidR="001A65D3" w:rsidRDefault="001A65D3">
      <w:pPr>
        <w:spacing w:after="0" w:line="240" w:lineRule="auto"/>
        <w:rPr>
          <w:rFonts w:cs="Calibri"/>
        </w:rPr>
      </w:pPr>
      <w:r>
        <w:rPr>
          <w:rFonts w:cs="Calibri"/>
        </w:rPr>
        <w:br w:type="page"/>
      </w: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3F232DE1"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La normativa que aplica la Universidad para reconocer, valuar y revelar la información en sus estados financieros, así como las bases de medición utilizadas para la elaboración de los mismos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Hasta la emisión de estos estados financieros la Universidad a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Reglas Específicas de Valoración del Patrimonio 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492FEC61"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Durante los últimos tres ejercicios al 31 de diciembre de 2024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4E8C2FDC"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356A46EE" w14:textId="77777777" w:rsidR="00995882" w:rsidRPr="00995882" w:rsidRDefault="00995882" w:rsidP="00995882">
      <w:pPr>
        <w:spacing w:after="0" w:line="240" w:lineRule="auto"/>
        <w:jc w:val="both"/>
        <w:rPr>
          <w:rFonts w:ascii="Trebuchet MS" w:hAnsi="Trebuchet MS" w:cs="Arial"/>
          <w:sz w:val="20"/>
          <w:szCs w:val="20"/>
        </w:rPr>
      </w:pP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28082F50"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Universidad ha reconocido la actualización de su participación en las empresas asociadas durante el ejercicio 202</w:t>
      </w:r>
      <w:r>
        <w:rPr>
          <w:rFonts w:ascii="Trebuchet MS" w:hAnsi="Trebuchet MS" w:cs="Arial"/>
          <w:sz w:val="20"/>
          <w:szCs w:val="20"/>
        </w:rPr>
        <w:t>4</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5915EBE3" w14:textId="77777777" w:rsidR="005525D5" w:rsidRPr="005525D5" w:rsidRDefault="005525D5" w:rsidP="005525D5">
      <w:pPr>
        <w:tabs>
          <w:tab w:val="left" w:leader="underscore" w:pos="9639"/>
        </w:tabs>
        <w:jc w:val="both"/>
        <w:rPr>
          <w:rFonts w:ascii="Trebuchet MS" w:hAnsi="Trebuchet MS" w:cs="Arial"/>
          <w:sz w:val="20"/>
          <w:szCs w:val="20"/>
        </w:rPr>
      </w:pPr>
      <w:r w:rsidRPr="005525D5">
        <w:rPr>
          <w:rFonts w:ascii="Trebuchet MS" w:hAnsi="Trebuchet MS" w:cs="Arial"/>
          <w:sz w:val="20"/>
          <w:szCs w:val="20"/>
        </w:rPr>
        <w:t>La Universidad opera distintos planes al retiro, incluyendo el de beneficios y contribuciones definidos, así como planes médicos al retiro.</w:t>
      </w:r>
    </w:p>
    <w:p w14:paraId="660CA7E7" w14:textId="77777777" w:rsidR="005525D5" w:rsidRPr="005525D5" w:rsidRDefault="005525D5" w:rsidP="005525D5">
      <w:pPr>
        <w:tabs>
          <w:tab w:val="left" w:leader="underscore" w:pos="9639"/>
        </w:tabs>
        <w:rPr>
          <w:rFonts w:ascii="Trebuchet MS" w:hAnsi="Trebuchet MS" w:cs="Arial"/>
          <w:sz w:val="20"/>
          <w:szCs w:val="20"/>
          <w:u w:val="single"/>
        </w:rPr>
      </w:pPr>
      <w:r w:rsidRPr="005525D5">
        <w:rPr>
          <w:rFonts w:ascii="Trebuchet MS" w:hAnsi="Trebuchet MS" w:cs="Arial"/>
          <w:sz w:val="20"/>
          <w:szCs w:val="20"/>
          <w:u w:val="single"/>
        </w:rPr>
        <w:t xml:space="preserve">Personal administrativo </w:t>
      </w:r>
    </w:p>
    <w:p w14:paraId="19A7E2FE"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3CAF43F8"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71EB7CF5"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Indemnizaciones al personal - De conformidad con la Ley Federal del Trabajo, los trabajadores tienen derecho a una indemnización en caso de despido injustificado, las erogaciones por este concepto se registran en los egresos del año en que se pagan.</w:t>
      </w:r>
    </w:p>
    <w:p w14:paraId="2A82BF40"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lastRenderedPageBreak/>
        <w:t>• Remuneraciones y prestaciones a jubilados y pensionados - De conformidad con la Ley de Seguridad Social del Estado de Guanajuato, para cuya observancia se constituyó el Instituto de Seguridad Social del Estado de Guanajuato, los asegurados que habiendo cumplido 65 años de edad y que hubieran cotizado cuando menos durante quince años, tendrán derecho a una pensión por vejez. Asimismo, después de cotizar quince años se tendrá derecho a pensión por invalidez o muerte.</w:t>
      </w:r>
    </w:p>
    <w:p w14:paraId="2A898300"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La pensión se calcula aplicando al sueldo nominal base promedio percibido en el año inmediato anterior una tabla de porcentajes que van del 50% al 95%, dependiendo de los años cotizados.</w:t>
      </w:r>
    </w:p>
    <w:p w14:paraId="7F9A3B53"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4E3D652F"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004F3779"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w:t>
      </w:r>
    </w:p>
    <w:p w14:paraId="7A0FBA53"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73CE2FBD" w14:textId="77777777" w:rsidR="005525D5" w:rsidRPr="005525D5" w:rsidRDefault="005525D5" w:rsidP="005525D5">
      <w:pPr>
        <w:jc w:val="both"/>
        <w:rPr>
          <w:rFonts w:ascii="Trebuchet MS" w:hAnsi="Trebuchet MS" w:cs="Arial"/>
          <w:sz w:val="20"/>
          <w:szCs w:val="20"/>
          <w:u w:val="single"/>
        </w:rPr>
      </w:pPr>
      <w:r w:rsidRPr="005525D5">
        <w:rPr>
          <w:rFonts w:ascii="Trebuchet MS" w:hAnsi="Trebuchet MS" w:cs="Arial"/>
          <w:sz w:val="20"/>
          <w:szCs w:val="20"/>
          <w:u w:val="single"/>
        </w:rPr>
        <w:t xml:space="preserve">Personal académico </w:t>
      </w:r>
    </w:p>
    <w:p w14:paraId="5137C983"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35495785"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59AF548B" w14:textId="77777777" w:rsidR="005525D5" w:rsidRPr="005525D5" w:rsidRDefault="005525D5" w:rsidP="005525D5">
      <w:pPr>
        <w:jc w:val="both"/>
        <w:rPr>
          <w:rFonts w:ascii="Trebuchet MS" w:hAnsi="Trebuchet MS" w:cs="Arial"/>
          <w:sz w:val="20"/>
          <w:szCs w:val="20"/>
        </w:rPr>
      </w:pPr>
    </w:p>
    <w:p w14:paraId="364B406C"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lastRenderedPageBreak/>
        <w:t>• Remuneraciones y prestaciones a jubilados y pensionados - De conformidad con la Ley de Seguridad Social del Estado de Guanajuato, para cuya observancia se constituyó el Instituto de Seguridad Social del Estado de Guanajuato, los asegurados que habiendo cumplido 65 años de edad y que hubieran cotizado cuando menos durante quince años, tendrán derecho a una pensión por vejez. Asimismo, después de cotizar quince años se tendrá derecho a pensión por invalidez o muerte.</w:t>
      </w:r>
    </w:p>
    <w:p w14:paraId="32E853D8" w14:textId="77777777" w:rsidR="005525D5" w:rsidRPr="005525D5" w:rsidRDefault="005525D5" w:rsidP="005525D5">
      <w:pPr>
        <w:ind w:left="567"/>
        <w:jc w:val="both"/>
        <w:rPr>
          <w:rFonts w:ascii="Trebuchet MS" w:hAnsi="Trebuchet MS" w:cs="Arial"/>
          <w:sz w:val="20"/>
          <w:szCs w:val="20"/>
        </w:rPr>
      </w:pPr>
      <w:r w:rsidRPr="005525D5">
        <w:rPr>
          <w:rFonts w:ascii="Trebuchet MS" w:hAnsi="Trebuchet MS" w:cs="Arial"/>
          <w:sz w:val="20"/>
          <w:szCs w:val="20"/>
        </w:rPr>
        <w:t>-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w:t>
      </w:r>
    </w:p>
    <w:p w14:paraId="18DA0A27" w14:textId="77777777" w:rsidR="005525D5" w:rsidRPr="005525D5" w:rsidRDefault="005525D5" w:rsidP="005525D5">
      <w:pPr>
        <w:ind w:left="567"/>
        <w:jc w:val="both"/>
        <w:rPr>
          <w:rFonts w:ascii="Trebuchet MS" w:hAnsi="Trebuchet MS" w:cs="Arial"/>
          <w:sz w:val="20"/>
          <w:szCs w:val="20"/>
        </w:rPr>
      </w:pPr>
      <w:r w:rsidRPr="005525D5">
        <w:rPr>
          <w:rFonts w:ascii="Trebuchet MS" w:hAnsi="Trebuchet MS" w:cs="Arial"/>
          <w:sz w:val="20"/>
          <w:szCs w:val="20"/>
        </w:rPr>
        <w:t>- La pensión por seguro de vejez cubierta por la Universidad será la diferencia en el porcentaje que la Ley del Instituto de Seguridad Social del Estado de Guanajuato, señale para tales casos.</w:t>
      </w:r>
    </w:p>
    <w:p w14:paraId="27483FE3"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w:t>
      </w:r>
    </w:p>
    <w:p w14:paraId="1C58C127"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7AB03C97"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74CE32FD" w14:textId="77777777" w:rsidR="005525D5" w:rsidRPr="005525D5" w:rsidRDefault="005525D5" w:rsidP="005525D5">
      <w:pPr>
        <w:jc w:val="both"/>
        <w:rPr>
          <w:rFonts w:ascii="Trebuchet MS" w:hAnsi="Trebuchet MS" w:cs="Arial"/>
          <w:sz w:val="20"/>
          <w:szCs w:val="20"/>
        </w:rPr>
      </w:pPr>
      <w:r w:rsidRPr="005525D5">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w:t>
      </w:r>
    </w:p>
    <w:p w14:paraId="39683BCC" w14:textId="77777777" w:rsidR="005525D5" w:rsidRPr="005525D5" w:rsidRDefault="005525D5" w:rsidP="005525D5">
      <w:pPr>
        <w:tabs>
          <w:tab w:val="left" w:leader="underscore" w:pos="9639"/>
        </w:tabs>
        <w:jc w:val="both"/>
        <w:rPr>
          <w:rFonts w:ascii="Trebuchet MS" w:hAnsi="Trebuchet MS" w:cs="Arial"/>
          <w:sz w:val="20"/>
          <w:szCs w:val="20"/>
        </w:rPr>
      </w:pPr>
      <w:r w:rsidRPr="005525D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58178913"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113C381"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D0EA21F" w14:textId="77777777" w:rsidR="00765A4C" w:rsidRPr="00E74967" w:rsidRDefault="00765A4C" w:rsidP="00CB41C4">
      <w:pPr>
        <w:tabs>
          <w:tab w:val="left" w:leader="underscore" w:pos="9639"/>
        </w:tabs>
        <w:spacing w:after="0" w:line="240" w:lineRule="auto"/>
        <w:jc w:val="both"/>
        <w:rPr>
          <w:rFonts w:cs="Calibri"/>
        </w:rPr>
      </w:pPr>
    </w:p>
    <w:p w14:paraId="37C172BE" w14:textId="4EFF45B9" w:rsidR="00765A4C"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Al 3</w:t>
      </w:r>
      <w:r>
        <w:rPr>
          <w:rFonts w:ascii="Trebuchet MS" w:hAnsi="Trebuchet MS"/>
          <w:sz w:val="20"/>
          <w:szCs w:val="20"/>
        </w:rPr>
        <w:t>1</w:t>
      </w:r>
      <w:r w:rsidRPr="007048FC">
        <w:rPr>
          <w:rFonts w:ascii="Trebuchet MS" w:hAnsi="Trebuchet MS"/>
          <w:sz w:val="20"/>
          <w:szCs w:val="20"/>
        </w:rPr>
        <w:t xml:space="preserve"> de </w:t>
      </w:r>
      <w:r>
        <w:rPr>
          <w:rFonts w:ascii="Trebuchet MS" w:hAnsi="Trebuchet MS"/>
          <w:sz w:val="20"/>
          <w:szCs w:val="20"/>
        </w:rPr>
        <w:t>diciembre</w:t>
      </w:r>
      <w:r w:rsidRPr="007048FC">
        <w:rPr>
          <w:rFonts w:ascii="Trebuchet MS" w:hAnsi="Trebuchet MS"/>
          <w:sz w:val="20"/>
          <w:szCs w:val="20"/>
        </w:rPr>
        <w:t xml:space="preserve"> de</w:t>
      </w:r>
      <w:r>
        <w:rPr>
          <w:rFonts w:ascii="Trebuchet MS" w:hAnsi="Trebuchet MS"/>
          <w:sz w:val="20"/>
          <w:szCs w:val="20"/>
        </w:rPr>
        <w:t>l</w:t>
      </w:r>
      <w:r w:rsidRPr="007048FC">
        <w:rPr>
          <w:rFonts w:ascii="Trebuchet MS" w:hAnsi="Trebuchet MS"/>
          <w:sz w:val="20"/>
          <w:szCs w:val="20"/>
        </w:rPr>
        <w:t xml:space="preserve"> 2024 la Universidad ha reconocido en sus provisiones $ </w:t>
      </w:r>
      <w:r>
        <w:rPr>
          <w:rFonts w:ascii="Trebuchet MS" w:hAnsi="Trebuchet MS"/>
          <w:sz w:val="20"/>
          <w:szCs w:val="20"/>
        </w:rPr>
        <w:t xml:space="preserve">936,706,745 </w:t>
      </w:r>
      <w:r w:rsidRPr="007048FC">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7048FC"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135BB0A7" w14:textId="45DCA00A" w:rsidR="00765A4C" w:rsidRPr="00146ED1"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w:t>
      </w:r>
      <w:r>
        <w:rPr>
          <w:rFonts w:ascii="Trebuchet MS" w:hAnsi="Trebuchet MS"/>
          <w:sz w:val="20"/>
          <w:szCs w:val="20"/>
        </w:rPr>
        <w:t>1</w:t>
      </w:r>
      <w:r w:rsidRPr="007048FC">
        <w:rPr>
          <w:rFonts w:ascii="Trebuchet MS" w:hAnsi="Trebuchet MS"/>
          <w:sz w:val="20"/>
          <w:szCs w:val="20"/>
        </w:rPr>
        <w:t xml:space="preserve"> de </w:t>
      </w:r>
      <w:r>
        <w:rPr>
          <w:rFonts w:ascii="Trebuchet MS" w:hAnsi="Trebuchet MS"/>
          <w:sz w:val="20"/>
          <w:szCs w:val="20"/>
        </w:rPr>
        <w:t xml:space="preserve">diciembre </w:t>
      </w:r>
      <w:r w:rsidRPr="007048FC">
        <w:rPr>
          <w:rFonts w:ascii="Trebuchet MS" w:hAnsi="Trebuchet MS"/>
          <w:sz w:val="20"/>
          <w:szCs w:val="20"/>
        </w:rPr>
        <w:t>de 2024 no se han efectuado pagos con cargo a dicha provisión.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7F78BA5" w14:textId="77777777" w:rsidR="00CB0F4E" w:rsidRPr="00E74967" w:rsidRDefault="00CB0F4E" w:rsidP="00CB41C4">
      <w:pPr>
        <w:tabs>
          <w:tab w:val="left" w:leader="underscore" w:pos="9639"/>
        </w:tabs>
        <w:spacing w:after="0" w:line="240" w:lineRule="auto"/>
        <w:jc w:val="both"/>
        <w:rPr>
          <w:rFonts w:cs="Calibri"/>
        </w:rPr>
      </w:pPr>
    </w:p>
    <w:p w14:paraId="3DAA4434" w14:textId="77777777" w:rsidR="00CB0F4E" w:rsidRPr="00CB0F4E"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31 de diciembre de 2024 no se aplicaron nuevas políticas contables ni se modificaron las que se venían aplicando para el reconocimiento de sus operaciones contables de manera sustantiva.</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427C6805" w:rsidR="007D1E76" w:rsidRPr="00CB0F4E" w:rsidRDefault="00CB0F4E" w:rsidP="00CB0F4E">
      <w:pPr>
        <w:tabs>
          <w:tab w:val="left" w:leader="underscore" w:pos="9639"/>
        </w:tabs>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31 de diciembre de 2024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Default="00CB0F4E" w:rsidP="00CB41C4">
      <w:pPr>
        <w:tabs>
          <w:tab w:val="left" w:leader="underscore" w:pos="9639"/>
        </w:tabs>
        <w:spacing w:after="0" w:line="240" w:lineRule="auto"/>
        <w:jc w:val="both"/>
        <w:rPr>
          <w:rFonts w:cs="Calibri"/>
          <w:b/>
        </w:rPr>
      </w:pPr>
    </w:p>
    <w:p w14:paraId="5405EF84" w14:textId="120A0830"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D417FD2" w14:textId="77777777" w:rsidR="00CB0F4E"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Default="00765A4C" w:rsidP="00765A4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C313270" w14:textId="77777777" w:rsidR="00B27F13" w:rsidRDefault="00B27F13">
      <w:pPr>
        <w:spacing w:after="0" w:line="240" w:lineRule="auto"/>
        <w:rPr>
          <w:rFonts w:ascii="Trebuchet MS" w:hAnsi="Trebuchet MS"/>
          <w:sz w:val="20"/>
          <w:szCs w:val="20"/>
        </w:rPr>
      </w:pPr>
      <w:r>
        <w:rPr>
          <w:rFonts w:ascii="Trebuchet MS" w:hAnsi="Trebuchet MS"/>
          <w:sz w:val="20"/>
          <w:szCs w:val="20"/>
        </w:rPr>
        <w:br w:type="page"/>
      </w: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lastRenderedPageBreak/>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4C7E1DFA" w14:textId="77777777" w:rsidR="00765A4C" w:rsidRPr="00E74967" w:rsidRDefault="00765A4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0408A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bookmarkStart w:id="6" w:name="_Hlk22741498"/>
            <w:r w:rsidRPr="000408AE">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6"/>
      <w:tr w:rsidR="00765A4C" w:rsidRPr="000408AE" w14:paraId="21995F53" w14:textId="77777777" w:rsidTr="006063CA">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2290A1BC" w14:textId="536A9C16"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145,217</w:t>
            </w:r>
          </w:p>
        </w:tc>
      </w:tr>
      <w:tr w:rsidR="00765A4C" w:rsidRPr="000408AE" w14:paraId="2FF950E5" w14:textId="77777777" w:rsidTr="006063CA">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5F06518E"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sidRPr="00765A4C">
              <w:rPr>
                <w:rFonts w:ascii="Trebuchet MS" w:eastAsia="Times New Roman" w:hAnsi="Trebuchet MS" w:cs="Calibri"/>
                <w:b/>
                <w:bCs/>
                <w:color w:val="000000"/>
                <w:sz w:val="20"/>
                <w:szCs w:val="20"/>
                <w:lang w:eastAsia="es-MX"/>
              </w:rPr>
              <w:t>1,002,980</w:t>
            </w:r>
          </w:p>
        </w:tc>
      </w:tr>
      <w:tr w:rsidR="00765A4C" w:rsidRPr="000408AE" w14:paraId="703E0246" w14:textId="77777777" w:rsidTr="006063CA">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7C662F7F"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40,004</w:t>
            </w:r>
          </w:p>
        </w:tc>
      </w:tr>
      <w:tr w:rsidR="00765A4C" w:rsidRPr="000408AE" w14:paraId="7DC7B9CF" w14:textId="77777777" w:rsidTr="006063CA">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765A4C" w:rsidRPr="000408AE"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6D7E3818" w:rsidR="00765A4C" w:rsidRPr="000408AE" w:rsidRDefault="00765A4C" w:rsidP="006063C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Pr="00765A4C">
              <w:rPr>
                <w:rFonts w:ascii="Trebuchet MS" w:eastAsia="Times New Roman" w:hAnsi="Trebuchet MS" w:cs="Calibri"/>
                <w:b/>
                <w:bCs/>
                <w:color w:val="000000"/>
                <w:sz w:val="18"/>
                <w:szCs w:val="18"/>
                <w:lang w:eastAsia="es-MX"/>
              </w:rPr>
              <w:t xml:space="preserve"> </w:t>
            </w:r>
            <w:r>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Pr="00765A4C">
              <w:rPr>
                <w:rFonts w:ascii="Trebuchet MS" w:eastAsia="Times New Roman" w:hAnsi="Trebuchet MS" w:cs="Calibri"/>
                <w:b/>
                <w:bCs/>
                <w:color w:val="000000"/>
                <w:sz w:val="20"/>
                <w:szCs w:val="20"/>
                <w:lang w:eastAsia="es-MX"/>
              </w:rPr>
              <w:t>2,552</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667072" w14:textId="77777777" w:rsidR="008E6268" w:rsidRDefault="008E6268" w:rsidP="008E6268">
      <w:pPr>
        <w:jc w:val="both"/>
        <w:rPr>
          <w:rFonts w:ascii="Trebuchet MS" w:hAnsi="Trebuchet MS" w:cs="Arial"/>
          <w:b/>
          <w:sz w:val="20"/>
          <w:szCs w:val="20"/>
        </w:rPr>
      </w:pPr>
    </w:p>
    <w:p w14:paraId="146CAEC1" w14:textId="4495E0C6" w:rsidR="007D1E76" w:rsidRDefault="008E6268" w:rsidP="008E6268">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Pr>
          <w:rFonts w:ascii="Trebuchet MS" w:hAnsi="Trebuchet MS" w:cs="Arial"/>
          <w:b/>
          <w:sz w:val="20"/>
          <w:szCs w:val="20"/>
        </w:rPr>
        <w:t>20.5103</w:t>
      </w:r>
    </w:p>
    <w:p w14:paraId="70BE1F5C" w14:textId="77777777" w:rsidR="008E6268" w:rsidRPr="00E74967" w:rsidRDefault="008E6268" w:rsidP="008E6268">
      <w:pPr>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0408A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EB820E"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57E91B17"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24C1308D" w14:textId="77777777" w:rsidR="008E6268" w:rsidRPr="000408AE" w:rsidRDefault="008E6268"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8E6268" w:rsidRPr="000408AE" w14:paraId="7BEF56A0"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B38B3F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595D1D5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643C64AE" w14:textId="6025A244" w:rsidR="008E6268" w:rsidRPr="00B27F13" w:rsidRDefault="008E6268" w:rsidP="000029C8">
            <w:pPr>
              <w:spacing w:after="0" w:line="240" w:lineRule="auto"/>
              <w:jc w:val="right"/>
              <w:rPr>
                <w:b/>
                <w:bCs/>
              </w:rPr>
            </w:pPr>
            <w:r w:rsidRPr="00B27F13">
              <w:rPr>
                <w:rFonts w:ascii="Trebuchet MS" w:eastAsia="Times New Roman" w:hAnsi="Trebuchet MS" w:cs="Calibri"/>
                <w:b/>
                <w:bCs/>
                <w:color w:val="000000"/>
                <w:sz w:val="20"/>
                <w:szCs w:val="20"/>
                <w:lang w:eastAsia="es-MX"/>
              </w:rPr>
              <w:t>$</w:t>
            </w:r>
            <w:r w:rsidRPr="00B27F13">
              <w:rPr>
                <w:rFonts w:ascii="Trebuchet MS" w:eastAsia="Times New Roman" w:hAnsi="Trebuchet MS" w:cs="Calibri"/>
                <w:b/>
                <w:bCs/>
                <w:color w:val="000000"/>
                <w:sz w:val="16"/>
                <w:szCs w:val="16"/>
                <w:lang w:eastAsia="es-MX"/>
              </w:rPr>
              <w:t xml:space="preserve"> </w:t>
            </w:r>
            <w:r w:rsidRPr="00B27F13">
              <w:rPr>
                <w:b/>
                <w:bCs/>
              </w:rPr>
              <w:t xml:space="preserve">      </w:t>
            </w:r>
            <w:r w:rsidR="000029C8" w:rsidRPr="00B27F13">
              <w:rPr>
                <w:b/>
                <w:bCs/>
              </w:rPr>
              <w:t>2,978,446</w:t>
            </w:r>
          </w:p>
        </w:tc>
      </w:tr>
      <w:tr w:rsidR="008E6268" w:rsidRPr="000408AE" w14:paraId="4373C35D"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7DB3C27"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209F59BE"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C42A2FF" w14:textId="343F01C7"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20,571,434</w:t>
            </w:r>
          </w:p>
        </w:tc>
      </w:tr>
      <w:tr w:rsidR="008E6268" w:rsidRPr="000408AE" w14:paraId="4D96ABAF"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B1A9F80"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5765CDBC"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77929623" w14:textId="2C8CE5B7"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820,501</w:t>
            </w:r>
          </w:p>
        </w:tc>
      </w:tr>
      <w:tr w:rsidR="008E6268" w:rsidRPr="000A0B52" w14:paraId="4811E8E4" w14:textId="77777777" w:rsidTr="006063CA">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284532DD"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01BD1D68" w14:textId="77777777" w:rsidR="008E6268" w:rsidRPr="000408AE" w:rsidRDefault="008E6268" w:rsidP="008E6268">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4F1DDF72" w14:textId="6F9D944A" w:rsidR="008E6268" w:rsidRPr="00B27F13" w:rsidRDefault="008E6268" w:rsidP="008E6268">
            <w:pPr>
              <w:spacing w:after="0" w:line="240" w:lineRule="auto"/>
              <w:jc w:val="right"/>
              <w:rPr>
                <w:rFonts w:ascii="Trebuchet MS" w:eastAsia="Times New Roman" w:hAnsi="Trebuchet MS" w:cs="Calibri"/>
                <w:b/>
                <w:bCs/>
                <w:color w:val="000000"/>
                <w:sz w:val="20"/>
                <w:szCs w:val="20"/>
                <w:lang w:eastAsia="es-MX"/>
              </w:rPr>
            </w:pPr>
            <w:r w:rsidRPr="00B27F13">
              <w:rPr>
                <w:rFonts w:ascii="Trebuchet MS" w:eastAsia="Times New Roman" w:hAnsi="Trebuchet MS" w:cs="Calibri"/>
                <w:b/>
                <w:bCs/>
                <w:color w:val="000000"/>
                <w:sz w:val="20"/>
                <w:szCs w:val="20"/>
                <w:lang w:eastAsia="es-MX"/>
              </w:rPr>
              <w:t xml:space="preserve">$    </w:t>
            </w:r>
            <w:r w:rsidRPr="00B27F13">
              <w:rPr>
                <w:rFonts w:ascii="Trebuchet MS" w:eastAsia="Times New Roman" w:hAnsi="Trebuchet MS" w:cs="Calibri"/>
                <w:b/>
                <w:bCs/>
                <w:color w:val="000000"/>
                <w:sz w:val="16"/>
                <w:szCs w:val="16"/>
                <w:lang w:eastAsia="es-MX"/>
              </w:rPr>
              <w:t xml:space="preserve"> </w:t>
            </w:r>
            <w:r w:rsidRPr="00B27F13">
              <w:rPr>
                <w:rFonts w:ascii="Trebuchet MS" w:eastAsia="Times New Roman" w:hAnsi="Trebuchet MS" w:cs="Calibri"/>
                <w:b/>
                <w:bCs/>
                <w:color w:val="000000"/>
                <w:sz w:val="20"/>
                <w:szCs w:val="20"/>
                <w:lang w:eastAsia="es-MX"/>
              </w:rPr>
              <w:t xml:space="preserve">    52,345</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77777777" w:rsidR="00B27F13" w:rsidRDefault="00B27F13">
      <w:pPr>
        <w:spacing w:after="0" w:line="240" w:lineRule="auto"/>
        <w:rPr>
          <w:rFonts w:cs="Calibri"/>
        </w:rPr>
      </w:pPr>
      <w:r>
        <w:rPr>
          <w:rFonts w:cs="Calibri"/>
        </w:rPr>
        <w:br w:type="page"/>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115509" w:rsidRDefault="008E6268" w:rsidP="006063CA">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369D69EF" w:rsidR="007D1E76"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w:t>
      </w:r>
    </w:p>
    <w:p w14:paraId="25A50D7D" w14:textId="77777777" w:rsidR="005525D5" w:rsidRDefault="005525D5" w:rsidP="008E6268">
      <w:pPr>
        <w:tabs>
          <w:tab w:val="left" w:leader="underscore" w:pos="9639"/>
        </w:tabs>
        <w:spacing w:after="0" w:line="240" w:lineRule="auto"/>
        <w:jc w:val="both"/>
        <w:rPr>
          <w:rFonts w:cs="Calibri"/>
        </w:rPr>
      </w:pPr>
    </w:p>
    <w:p w14:paraId="2E17CB0A" w14:textId="0B66FFF1" w:rsidR="007D1E76" w:rsidRPr="00E74967" w:rsidRDefault="005525D5" w:rsidP="005525D5">
      <w:pPr>
        <w:tabs>
          <w:tab w:val="left" w:leader="underscore" w:pos="9639"/>
        </w:tabs>
        <w:jc w:val="both"/>
        <w:rPr>
          <w:rFonts w:cs="Calibri"/>
          <w:b/>
        </w:rPr>
      </w:pPr>
      <w:r w:rsidRPr="006818DB">
        <w:rPr>
          <w:rFonts w:ascii="Arial" w:hAnsi="Arial" w:cs="Arial"/>
          <w:bCs/>
          <w:sz w:val="18"/>
          <w:szCs w:val="18"/>
        </w:rPr>
        <w:t>Durante el 2024 la Universidad de Guanajuato realizo obras por un importe de $64,395,844</w:t>
      </w: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Pr="00E74967" w:rsidRDefault="007D1E76"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shd w:val="clear" w:color="auto" w:fill="auto"/>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210CDAB9" w14:textId="77777777" w:rsidTr="006063CA">
        <w:trPr>
          <w:trHeight w:val="450"/>
        </w:trPr>
        <w:tc>
          <w:tcPr>
            <w:tcW w:w="1701" w:type="dxa"/>
            <w:shd w:val="clear" w:color="auto" w:fill="auto"/>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shd w:val="clear" w:color="auto" w:fill="auto"/>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C8492FC" w14:textId="4664F8CA" w:rsidR="008E6268" w:rsidRPr="00AA62D0" w:rsidRDefault="008E6268" w:rsidP="006063CA">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45,203,575</w:t>
            </w:r>
          </w:p>
        </w:tc>
        <w:tc>
          <w:tcPr>
            <w:tcW w:w="1984" w:type="dxa"/>
            <w:shd w:val="clear" w:color="auto" w:fill="auto"/>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7777777" w:rsidR="008E6268" w:rsidRDefault="008E6268" w:rsidP="008E6268">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lastRenderedPageBreak/>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shd w:val="clear" w:color="auto" w:fill="auto"/>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1B00F166" w14:textId="77777777" w:rsidTr="008E6268">
        <w:trPr>
          <w:trHeight w:val="600"/>
        </w:trPr>
        <w:tc>
          <w:tcPr>
            <w:tcW w:w="1701" w:type="dxa"/>
            <w:shd w:val="clear" w:color="auto" w:fill="auto"/>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shd w:val="clear" w:color="auto" w:fill="auto"/>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32B68C8" w14:textId="1F3E460C"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38,622</w:t>
            </w:r>
          </w:p>
        </w:tc>
        <w:tc>
          <w:tcPr>
            <w:tcW w:w="1984" w:type="dxa"/>
            <w:shd w:val="clear" w:color="auto" w:fill="auto"/>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shd w:val="clear" w:color="auto" w:fill="auto"/>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shd w:val="clear" w:color="auto" w:fill="auto"/>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shd w:val="clear" w:color="auto" w:fill="auto"/>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0A912DD0" w14:textId="03229231"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113,053</w:t>
            </w:r>
          </w:p>
        </w:tc>
        <w:tc>
          <w:tcPr>
            <w:tcW w:w="1984" w:type="dxa"/>
            <w:shd w:val="clear" w:color="auto" w:fill="auto"/>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shd w:val="clear" w:color="auto" w:fill="auto"/>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A7E1249" w14:textId="21806C6A"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13,158</w:t>
            </w:r>
          </w:p>
        </w:tc>
        <w:tc>
          <w:tcPr>
            <w:tcW w:w="1984" w:type="dxa"/>
            <w:shd w:val="clear" w:color="auto" w:fill="auto"/>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56CBDFEB"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6063CA">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6E2B82" w:rsidRPr="00620003" w14:paraId="14E8B1BC" w14:textId="77777777" w:rsidTr="006E2B82">
        <w:trPr>
          <w:trHeight w:val="1020"/>
        </w:trPr>
        <w:tc>
          <w:tcPr>
            <w:tcW w:w="1578" w:type="dxa"/>
            <w:vAlign w:val="center"/>
            <w:hideMark/>
          </w:tcPr>
          <w:p w14:paraId="31927D61" w14:textId="77777777" w:rsidR="006E2B82" w:rsidRPr="003F14A4" w:rsidRDefault="006E2B82" w:rsidP="006E2B82">
            <w:pPr>
              <w:spacing w:after="0" w:line="240" w:lineRule="auto"/>
              <w:jc w:val="both"/>
            </w:pPr>
            <w:r w:rsidRPr="003F14A4">
              <w:t>1213400010</w:t>
            </w:r>
          </w:p>
        </w:tc>
        <w:tc>
          <w:tcPr>
            <w:tcW w:w="2500" w:type="dxa"/>
            <w:vAlign w:val="center"/>
            <w:hideMark/>
          </w:tcPr>
          <w:p w14:paraId="5BE0C7F4" w14:textId="77777777" w:rsidR="006E2B82" w:rsidRPr="003F14A4" w:rsidRDefault="006E2B82" w:rsidP="006E2B82">
            <w:pPr>
              <w:spacing w:after="0" w:line="240" w:lineRule="auto"/>
              <w:jc w:val="both"/>
            </w:pPr>
            <w:r w:rsidRPr="003F14A4">
              <w:t>Banamex seguro vs accidentes</w:t>
            </w:r>
          </w:p>
        </w:tc>
        <w:tc>
          <w:tcPr>
            <w:tcW w:w="1782" w:type="dxa"/>
            <w:vAlign w:val="center"/>
            <w:hideMark/>
          </w:tcPr>
          <w:p w14:paraId="5963D40D" w14:textId="1012F80E" w:rsidR="006E2B82" w:rsidRPr="003F14A4" w:rsidRDefault="006E2B82" w:rsidP="006E2B82">
            <w:pPr>
              <w:spacing w:after="0" w:line="240" w:lineRule="auto"/>
              <w:jc w:val="right"/>
            </w:pPr>
            <w:r w:rsidRPr="005F5F32">
              <w:t xml:space="preserve"> 254,806 </w:t>
            </w:r>
          </w:p>
        </w:tc>
        <w:tc>
          <w:tcPr>
            <w:tcW w:w="1378" w:type="dxa"/>
            <w:vAlign w:val="center"/>
            <w:hideMark/>
          </w:tcPr>
          <w:p w14:paraId="65CACC97" w14:textId="77777777" w:rsidR="006E2B82" w:rsidRPr="003F14A4" w:rsidRDefault="006E2B82" w:rsidP="006E2B82">
            <w:pPr>
              <w:spacing w:after="0" w:line="240" w:lineRule="auto"/>
              <w:jc w:val="both"/>
            </w:pPr>
            <w:r w:rsidRPr="003F14A4">
              <w:t>TERCEROS</w:t>
            </w:r>
          </w:p>
        </w:tc>
        <w:tc>
          <w:tcPr>
            <w:tcW w:w="2440" w:type="dxa"/>
            <w:vAlign w:val="center"/>
            <w:hideMark/>
          </w:tcPr>
          <w:p w14:paraId="30179CD7"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620003" w14:paraId="7965DBB3" w14:textId="77777777" w:rsidTr="006E2B82">
        <w:trPr>
          <w:trHeight w:val="1020"/>
        </w:trPr>
        <w:tc>
          <w:tcPr>
            <w:tcW w:w="1578" w:type="dxa"/>
            <w:vAlign w:val="center"/>
            <w:hideMark/>
          </w:tcPr>
          <w:p w14:paraId="3DF733AB" w14:textId="77777777" w:rsidR="006E2B82" w:rsidRPr="003F14A4" w:rsidRDefault="006E2B82" w:rsidP="006E2B82">
            <w:pPr>
              <w:spacing w:after="0" w:line="240" w:lineRule="auto"/>
              <w:jc w:val="both"/>
            </w:pPr>
            <w:r w:rsidRPr="003F14A4">
              <w:t>1213400030</w:t>
            </w:r>
          </w:p>
        </w:tc>
        <w:tc>
          <w:tcPr>
            <w:tcW w:w="2500" w:type="dxa"/>
            <w:vAlign w:val="center"/>
            <w:hideMark/>
          </w:tcPr>
          <w:p w14:paraId="4F85EDB4" w14:textId="77777777" w:rsidR="006E2B82" w:rsidRPr="003F14A4" w:rsidRDefault="006E2B82" w:rsidP="006E2B82">
            <w:pPr>
              <w:spacing w:after="0" w:line="240" w:lineRule="auto"/>
              <w:jc w:val="both"/>
            </w:pPr>
            <w:r w:rsidRPr="003F14A4">
              <w:t>Jubilaciones y pensiones</w:t>
            </w:r>
          </w:p>
        </w:tc>
        <w:tc>
          <w:tcPr>
            <w:tcW w:w="1782" w:type="dxa"/>
            <w:vAlign w:val="center"/>
            <w:hideMark/>
          </w:tcPr>
          <w:p w14:paraId="5FFCF046" w14:textId="49F2580B" w:rsidR="006E2B82" w:rsidRPr="003F14A4" w:rsidRDefault="006E2B82" w:rsidP="006E2B82">
            <w:pPr>
              <w:spacing w:after="0" w:line="240" w:lineRule="auto"/>
              <w:jc w:val="right"/>
            </w:pPr>
            <w:r w:rsidRPr="005F5F32">
              <w:t xml:space="preserve"> 848,345,118 </w:t>
            </w:r>
          </w:p>
        </w:tc>
        <w:tc>
          <w:tcPr>
            <w:tcW w:w="1378" w:type="dxa"/>
            <w:vAlign w:val="center"/>
            <w:hideMark/>
          </w:tcPr>
          <w:p w14:paraId="059A9E20" w14:textId="77777777" w:rsidR="006E2B82" w:rsidRPr="003F14A4" w:rsidRDefault="006E2B82" w:rsidP="006E2B82">
            <w:pPr>
              <w:spacing w:after="0" w:line="240" w:lineRule="auto"/>
              <w:jc w:val="both"/>
            </w:pPr>
            <w:r w:rsidRPr="003F14A4">
              <w:t>TERCEROS</w:t>
            </w:r>
          </w:p>
        </w:tc>
        <w:tc>
          <w:tcPr>
            <w:tcW w:w="2440" w:type="dxa"/>
            <w:vAlign w:val="center"/>
            <w:hideMark/>
          </w:tcPr>
          <w:p w14:paraId="17B0EC4C"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bl>
    <w:p w14:paraId="4A865FD8" w14:textId="77777777" w:rsidR="00CC692F" w:rsidRDefault="00CC692F">
      <w:r>
        <w:br w:type="page"/>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620003" w14:paraId="45A7AE87" w14:textId="77777777" w:rsidTr="006E2B82">
        <w:trPr>
          <w:trHeight w:val="1020"/>
        </w:trPr>
        <w:tc>
          <w:tcPr>
            <w:tcW w:w="1578" w:type="dxa"/>
            <w:vAlign w:val="center"/>
            <w:hideMark/>
          </w:tcPr>
          <w:p w14:paraId="53AA55CA" w14:textId="5E6E5A2D" w:rsidR="006E2B82" w:rsidRPr="003F14A4" w:rsidRDefault="006E2B82" w:rsidP="006E2B82">
            <w:pPr>
              <w:spacing w:after="0" w:line="240" w:lineRule="auto"/>
              <w:jc w:val="both"/>
            </w:pPr>
            <w:r w:rsidRPr="003F14A4">
              <w:lastRenderedPageBreak/>
              <w:t>1213400050</w:t>
            </w:r>
          </w:p>
        </w:tc>
        <w:tc>
          <w:tcPr>
            <w:tcW w:w="2500" w:type="dxa"/>
            <w:vAlign w:val="center"/>
            <w:hideMark/>
          </w:tcPr>
          <w:p w14:paraId="48AA18A6" w14:textId="77777777" w:rsidR="006E2B82" w:rsidRPr="003F14A4" w:rsidRDefault="006E2B82" w:rsidP="006E2B82">
            <w:pPr>
              <w:spacing w:after="0" w:line="240" w:lineRule="auto"/>
              <w:jc w:val="both"/>
            </w:pPr>
            <w:r w:rsidRPr="003F14A4">
              <w:t>PRODEP 2016</w:t>
            </w:r>
          </w:p>
        </w:tc>
        <w:tc>
          <w:tcPr>
            <w:tcW w:w="1782" w:type="dxa"/>
            <w:vAlign w:val="center"/>
            <w:hideMark/>
          </w:tcPr>
          <w:p w14:paraId="40807238" w14:textId="3AB4E574" w:rsidR="006E2B82" w:rsidRPr="003F14A4" w:rsidRDefault="006E2B82" w:rsidP="006E2B82">
            <w:pPr>
              <w:spacing w:after="0" w:line="240" w:lineRule="auto"/>
              <w:jc w:val="right"/>
            </w:pPr>
            <w:r w:rsidRPr="005F5F32">
              <w:t xml:space="preserve"> 83,575,941 </w:t>
            </w:r>
          </w:p>
        </w:tc>
        <w:tc>
          <w:tcPr>
            <w:tcW w:w="1378" w:type="dxa"/>
            <w:vAlign w:val="center"/>
            <w:hideMark/>
          </w:tcPr>
          <w:p w14:paraId="1AAAA6FD" w14:textId="77777777" w:rsidR="006E2B82" w:rsidRPr="003F14A4" w:rsidRDefault="006E2B82" w:rsidP="006E2B82">
            <w:pPr>
              <w:spacing w:after="0" w:line="240" w:lineRule="auto"/>
              <w:jc w:val="both"/>
            </w:pPr>
            <w:r w:rsidRPr="003F14A4">
              <w:t>TERCEROS</w:t>
            </w:r>
          </w:p>
        </w:tc>
        <w:tc>
          <w:tcPr>
            <w:tcW w:w="2440" w:type="dxa"/>
            <w:vAlign w:val="center"/>
            <w:hideMark/>
          </w:tcPr>
          <w:p w14:paraId="1FD4E6D1"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620003" w14:paraId="54CED537" w14:textId="77777777" w:rsidTr="006E2B82">
        <w:trPr>
          <w:trHeight w:val="204"/>
        </w:trPr>
        <w:tc>
          <w:tcPr>
            <w:tcW w:w="1578" w:type="dxa"/>
            <w:vAlign w:val="center"/>
          </w:tcPr>
          <w:p w14:paraId="4CDF3946" w14:textId="20CD4D00" w:rsidR="006E2B82" w:rsidRPr="00E5213C" w:rsidRDefault="006E2B82" w:rsidP="006E2B82">
            <w:pPr>
              <w:spacing w:after="0" w:line="240" w:lineRule="auto"/>
              <w:jc w:val="both"/>
            </w:pPr>
            <w:r w:rsidRPr="00CD7372">
              <w:t>1213400450</w:t>
            </w:r>
          </w:p>
        </w:tc>
        <w:tc>
          <w:tcPr>
            <w:tcW w:w="2500" w:type="dxa"/>
            <w:vAlign w:val="center"/>
          </w:tcPr>
          <w:p w14:paraId="2AA5102B" w14:textId="77777777" w:rsidR="006E2B82" w:rsidRPr="006E23B6" w:rsidRDefault="006E2B82" w:rsidP="006E2B82">
            <w:pPr>
              <w:spacing w:after="0" w:line="240" w:lineRule="auto"/>
              <w:jc w:val="both"/>
            </w:pPr>
            <w:r w:rsidRPr="00CD7372">
              <w:t>PRODEP 2019</w:t>
            </w:r>
          </w:p>
        </w:tc>
        <w:tc>
          <w:tcPr>
            <w:tcW w:w="1782" w:type="dxa"/>
            <w:vAlign w:val="center"/>
          </w:tcPr>
          <w:p w14:paraId="1969FE04" w14:textId="738419C8" w:rsidR="006E2B82" w:rsidRPr="00CD7372" w:rsidRDefault="006E2B82" w:rsidP="006E2B82">
            <w:pPr>
              <w:jc w:val="right"/>
            </w:pPr>
            <w:r w:rsidRPr="005F5F32">
              <w:t xml:space="preserve"> 338,641 </w:t>
            </w:r>
          </w:p>
        </w:tc>
        <w:tc>
          <w:tcPr>
            <w:tcW w:w="1378" w:type="dxa"/>
            <w:vAlign w:val="center"/>
          </w:tcPr>
          <w:p w14:paraId="1242A25E" w14:textId="77777777" w:rsidR="006E2B82" w:rsidRPr="006353E5" w:rsidRDefault="006E2B82" w:rsidP="006E2B82">
            <w:pPr>
              <w:spacing w:after="0" w:line="240" w:lineRule="auto"/>
              <w:jc w:val="both"/>
            </w:pPr>
            <w:r w:rsidRPr="006353E5">
              <w:t>TERCEROS</w:t>
            </w:r>
          </w:p>
        </w:tc>
        <w:tc>
          <w:tcPr>
            <w:tcW w:w="2440" w:type="dxa"/>
            <w:vAlign w:val="center"/>
          </w:tcPr>
          <w:p w14:paraId="215BAB7E" w14:textId="77777777" w:rsidR="006E2B82" w:rsidRPr="00620003" w:rsidRDefault="006E2B82"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6E2B82" w:rsidRPr="00E26F29" w14:paraId="1760E676" w14:textId="77777777" w:rsidTr="006E2B82">
        <w:trPr>
          <w:trHeight w:val="204"/>
        </w:trPr>
        <w:tc>
          <w:tcPr>
            <w:tcW w:w="1578" w:type="dxa"/>
            <w:hideMark/>
          </w:tcPr>
          <w:p w14:paraId="1DD69405"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39ACCF58" w:rsidR="006E2B82" w:rsidRPr="00E26F29" w:rsidRDefault="006E2B82" w:rsidP="006E2B82">
            <w:pPr>
              <w:spacing w:after="0" w:line="240" w:lineRule="auto"/>
              <w:jc w:val="right"/>
              <w:rPr>
                <w:rFonts w:ascii="Trebuchet MS" w:hAnsi="Trebuchet MS"/>
                <w:b/>
                <w:bCs/>
                <w:sz w:val="20"/>
                <w:szCs w:val="20"/>
              </w:rPr>
            </w:pPr>
            <w:r w:rsidRPr="005F5F32">
              <w:t xml:space="preserve"> 932,514,506 </w:t>
            </w:r>
          </w:p>
        </w:tc>
        <w:tc>
          <w:tcPr>
            <w:tcW w:w="1378" w:type="dxa"/>
            <w:hideMark/>
          </w:tcPr>
          <w:p w14:paraId="140D614F"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6E2B82" w:rsidRPr="00E26F29" w:rsidRDefault="006E2B82" w:rsidP="006E2B82">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bookmarkStart w:id="10"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332"/>
        <w:gridCol w:w="1332"/>
        <w:gridCol w:w="1333"/>
        <w:gridCol w:w="1332"/>
        <w:gridCol w:w="1333"/>
      </w:tblGrid>
      <w:tr w:rsidR="001A65D3" w:rsidRPr="00D47571" w14:paraId="1D3D8217" w14:textId="77777777" w:rsidTr="004811F0">
        <w:tc>
          <w:tcPr>
            <w:tcW w:w="2410" w:type="dxa"/>
            <w:vAlign w:val="bottom"/>
          </w:tcPr>
          <w:p w14:paraId="62D6CEBD" w14:textId="77777777" w:rsidR="001A65D3" w:rsidRPr="00D47571" w:rsidRDefault="001A65D3" w:rsidP="004811F0">
            <w:pPr>
              <w:tabs>
                <w:tab w:val="left" w:leader="underscore" w:pos="9639"/>
              </w:tabs>
              <w:jc w:val="center"/>
              <w:rPr>
                <w:b/>
                <w:bCs/>
                <w:sz w:val="16"/>
                <w:szCs w:val="16"/>
              </w:rPr>
            </w:pPr>
            <w:r w:rsidRPr="00D47571">
              <w:rPr>
                <w:b/>
                <w:bCs/>
                <w:sz w:val="16"/>
                <w:szCs w:val="16"/>
              </w:rPr>
              <w:t>Rubro</w:t>
            </w:r>
          </w:p>
        </w:tc>
        <w:tc>
          <w:tcPr>
            <w:tcW w:w="1332" w:type="dxa"/>
            <w:vAlign w:val="bottom"/>
          </w:tcPr>
          <w:p w14:paraId="65C60C03" w14:textId="1B329CC2"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4</w:t>
            </w:r>
          </w:p>
        </w:tc>
        <w:tc>
          <w:tcPr>
            <w:tcW w:w="1332" w:type="dxa"/>
            <w:vAlign w:val="bottom"/>
          </w:tcPr>
          <w:p w14:paraId="79C7C9BF" w14:textId="4C55C357"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3</w:t>
            </w:r>
          </w:p>
        </w:tc>
        <w:tc>
          <w:tcPr>
            <w:tcW w:w="1333" w:type="dxa"/>
            <w:vAlign w:val="bottom"/>
          </w:tcPr>
          <w:p w14:paraId="00938B7E" w14:textId="77777777"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2022</w:t>
            </w:r>
          </w:p>
        </w:tc>
        <w:tc>
          <w:tcPr>
            <w:tcW w:w="1332" w:type="dxa"/>
            <w:vAlign w:val="bottom"/>
          </w:tcPr>
          <w:p w14:paraId="375B11DA" w14:textId="0B365A0D"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1</w:t>
            </w:r>
          </w:p>
        </w:tc>
        <w:tc>
          <w:tcPr>
            <w:tcW w:w="1333" w:type="dxa"/>
            <w:vAlign w:val="bottom"/>
          </w:tcPr>
          <w:p w14:paraId="3BC8B110" w14:textId="315A207E" w:rsidR="001A65D3" w:rsidRPr="00D47571" w:rsidRDefault="001A65D3" w:rsidP="004811F0">
            <w:pPr>
              <w:tabs>
                <w:tab w:val="left" w:pos="36"/>
                <w:tab w:val="decimal" w:pos="1170"/>
              </w:tabs>
              <w:ind w:left="36" w:right="37"/>
              <w:jc w:val="center"/>
              <w:rPr>
                <w:b/>
                <w:bCs/>
                <w:sz w:val="16"/>
                <w:szCs w:val="16"/>
              </w:rPr>
            </w:pPr>
            <w:r w:rsidRPr="00D47571">
              <w:rPr>
                <w:b/>
                <w:bCs/>
                <w:sz w:val="16"/>
                <w:szCs w:val="16"/>
              </w:rPr>
              <w:t>202</w:t>
            </w:r>
            <w:r w:rsidR="005C427D">
              <w:rPr>
                <w:b/>
                <w:bCs/>
                <w:sz w:val="16"/>
                <w:szCs w:val="16"/>
              </w:rPr>
              <w:t>0</w:t>
            </w:r>
          </w:p>
        </w:tc>
      </w:tr>
      <w:tr w:rsidR="005C427D" w:rsidRPr="00D47571" w14:paraId="55CED5BA" w14:textId="77777777" w:rsidTr="005C427D">
        <w:tc>
          <w:tcPr>
            <w:tcW w:w="2410" w:type="dxa"/>
            <w:vAlign w:val="bottom"/>
          </w:tcPr>
          <w:p w14:paraId="5BB46693" w14:textId="707D38A1" w:rsidR="005C427D" w:rsidRPr="00D47571" w:rsidRDefault="005C427D" w:rsidP="005C427D">
            <w:pPr>
              <w:tabs>
                <w:tab w:val="left" w:leader="underscore" w:pos="9639"/>
              </w:tabs>
              <w:rPr>
                <w:sz w:val="16"/>
                <w:szCs w:val="16"/>
              </w:rPr>
            </w:pPr>
            <w:r w:rsidRPr="00D47571">
              <w:rPr>
                <w:color w:val="000000"/>
                <w:sz w:val="16"/>
                <w:szCs w:val="16"/>
              </w:rPr>
              <w:t xml:space="preserve">Ingresos </w:t>
            </w:r>
            <w:r w:rsidR="00CC692F">
              <w:rPr>
                <w:color w:val="000000"/>
                <w:sz w:val="16"/>
                <w:szCs w:val="16"/>
              </w:rPr>
              <w:t>Estatales</w:t>
            </w:r>
          </w:p>
        </w:tc>
        <w:tc>
          <w:tcPr>
            <w:tcW w:w="1332" w:type="dxa"/>
            <w:vAlign w:val="center"/>
          </w:tcPr>
          <w:p w14:paraId="32CFF46A" w14:textId="79060903" w:rsidR="005C427D" w:rsidRPr="005C427D" w:rsidRDefault="005C427D" w:rsidP="005C427D">
            <w:pPr>
              <w:tabs>
                <w:tab w:val="left" w:pos="36"/>
                <w:tab w:val="decimal" w:pos="1170"/>
              </w:tabs>
              <w:ind w:left="36" w:right="37"/>
              <w:jc w:val="right"/>
              <w:rPr>
                <w:color w:val="000000"/>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2" w:type="dxa"/>
            <w:vAlign w:val="center"/>
          </w:tcPr>
          <w:p w14:paraId="6EE04645" w14:textId="6618EF40"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3" w:type="dxa"/>
            <w:vAlign w:val="center"/>
          </w:tcPr>
          <w:p w14:paraId="2CF4B503" w14:textId="053E63B8"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c>
          <w:tcPr>
            <w:tcW w:w="1332" w:type="dxa"/>
            <w:vAlign w:val="center"/>
          </w:tcPr>
          <w:p w14:paraId="42D0F5F4" w14:textId="5F736246"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1,452,565,293</w:t>
            </w:r>
          </w:p>
        </w:tc>
        <w:tc>
          <w:tcPr>
            <w:tcW w:w="1333" w:type="dxa"/>
            <w:vAlign w:val="center"/>
          </w:tcPr>
          <w:p w14:paraId="65785E84" w14:textId="73A2B8BC" w:rsidR="005C427D" w:rsidRPr="00D47571" w:rsidRDefault="005C427D" w:rsidP="005C427D">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1,432,374,458</w:t>
            </w:r>
          </w:p>
        </w:tc>
      </w:tr>
      <w:tr w:rsidR="005C427D" w:rsidRPr="00D47571" w14:paraId="2C12B120" w14:textId="77777777" w:rsidTr="005C427D">
        <w:tc>
          <w:tcPr>
            <w:tcW w:w="2410" w:type="dxa"/>
            <w:vAlign w:val="bottom"/>
          </w:tcPr>
          <w:p w14:paraId="7AEA305C" w14:textId="76DA2306" w:rsidR="005C427D" w:rsidRPr="00D47571" w:rsidRDefault="00CC692F" w:rsidP="005C427D">
            <w:pPr>
              <w:tabs>
                <w:tab w:val="left" w:leader="underscore" w:pos="9639"/>
              </w:tabs>
              <w:ind w:left="179" w:hanging="179"/>
              <w:rPr>
                <w:sz w:val="16"/>
                <w:szCs w:val="16"/>
              </w:rPr>
            </w:pPr>
            <w:r>
              <w:rPr>
                <w:color w:val="000000"/>
                <w:sz w:val="16"/>
                <w:szCs w:val="16"/>
              </w:rPr>
              <w:t>Ingresos Federales</w:t>
            </w:r>
          </w:p>
        </w:tc>
        <w:tc>
          <w:tcPr>
            <w:tcW w:w="1332" w:type="dxa"/>
            <w:vAlign w:val="center"/>
          </w:tcPr>
          <w:p w14:paraId="054E39EE" w14:textId="27F7C31A" w:rsidR="005C427D" w:rsidRPr="005C427D" w:rsidRDefault="005C427D" w:rsidP="005C427D">
            <w:pPr>
              <w:tabs>
                <w:tab w:val="left" w:pos="36"/>
                <w:tab w:val="decimal" w:pos="1170"/>
              </w:tabs>
              <w:ind w:left="36" w:right="37"/>
              <w:jc w:val="right"/>
              <w:rPr>
                <w:color w:val="000000"/>
                <w:sz w:val="16"/>
                <w:szCs w:val="16"/>
              </w:rPr>
            </w:pPr>
            <w:r>
              <w:rPr>
                <w:rFonts w:cs="Calibri"/>
                <w:color w:val="000000"/>
                <w:sz w:val="16"/>
                <w:szCs w:val="16"/>
              </w:rPr>
              <w:t>2,366,112,016</w:t>
            </w:r>
          </w:p>
        </w:tc>
        <w:tc>
          <w:tcPr>
            <w:tcW w:w="1332" w:type="dxa"/>
            <w:vAlign w:val="center"/>
          </w:tcPr>
          <w:p w14:paraId="2511005B" w14:textId="34E6CD20" w:rsidR="005C427D" w:rsidRPr="00D47571" w:rsidRDefault="005C427D" w:rsidP="005C427D">
            <w:pPr>
              <w:tabs>
                <w:tab w:val="left" w:pos="36"/>
                <w:tab w:val="decimal" w:pos="1170"/>
              </w:tabs>
              <w:ind w:left="36" w:right="37"/>
              <w:jc w:val="right"/>
              <w:rPr>
                <w:sz w:val="16"/>
                <w:szCs w:val="16"/>
                <w:u w:val="single"/>
              </w:rPr>
            </w:pPr>
            <w:r>
              <w:rPr>
                <w:rFonts w:cs="Calibri"/>
                <w:color w:val="000000"/>
                <w:sz w:val="16"/>
                <w:szCs w:val="16"/>
              </w:rPr>
              <w:t>2,263,034,049</w:t>
            </w:r>
          </w:p>
        </w:tc>
        <w:tc>
          <w:tcPr>
            <w:tcW w:w="1333" w:type="dxa"/>
            <w:vAlign w:val="center"/>
          </w:tcPr>
          <w:p w14:paraId="184772EF" w14:textId="6F08DEBF" w:rsidR="005C427D" w:rsidRPr="00D47571" w:rsidRDefault="005C427D" w:rsidP="005C427D">
            <w:pPr>
              <w:tabs>
                <w:tab w:val="left" w:pos="36"/>
                <w:tab w:val="decimal" w:pos="1170"/>
              </w:tabs>
              <w:ind w:left="36" w:right="37"/>
              <w:jc w:val="right"/>
              <w:rPr>
                <w:sz w:val="16"/>
                <w:szCs w:val="16"/>
                <w:u w:val="single"/>
              </w:rPr>
            </w:pPr>
            <w:r>
              <w:rPr>
                <w:rFonts w:cs="Calibri"/>
                <w:color w:val="000000"/>
                <w:sz w:val="16"/>
                <w:szCs w:val="16"/>
              </w:rPr>
              <w:t>2,132,021,610</w:t>
            </w:r>
          </w:p>
        </w:tc>
        <w:tc>
          <w:tcPr>
            <w:tcW w:w="1332" w:type="dxa"/>
            <w:vAlign w:val="center"/>
          </w:tcPr>
          <w:p w14:paraId="0811066E" w14:textId="01A49006" w:rsidR="005C427D" w:rsidRPr="00D47571" w:rsidRDefault="005C427D" w:rsidP="005C427D">
            <w:pPr>
              <w:tabs>
                <w:tab w:val="left" w:pos="36"/>
                <w:tab w:val="decimal" w:pos="1170"/>
              </w:tabs>
              <w:ind w:left="36" w:right="37"/>
              <w:jc w:val="right"/>
              <w:rPr>
                <w:color w:val="000000"/>
                <w:sz w:val="16"/>
                <w:szCs w:val="16"/>
                <w:u w:val="single"/>
              </w:rPr>
            </w:pPr>
            <w:r>
              <w:rPr>
                <w:rFonts w:cs="Calibri"/>
                <w:color w:val="000000"/>
                <w:sz w:val="16"/>
                <w:szCs w:val="16"/>
              </w:rPr>
              <w:t>2,038,695,718</w:t>
            </w:r>
          </w:p>
        </w:tc>
        <w:tc>
          <w:tcPr>
            <w:tcW w:w="1333" w:type="dxa"/>
            <w:vAlign w:val="center"/>
          </w:tcPr>
          <w:p w14:paraId="10306801" w14:textId="2957E5FA" w:rsidR="005C427D" w:rsidRPr="00D47571" w:rsidRDefault="005C427D" w:rsidP="005C427D">
            <w:pPr>
              <w:tabs>
                <w:tab w:val="left" w:pos="36"/>
                <w:tab w:val="decimal" w:pos="1170"/>
              </w:tabs>
              <w:ind w:left="36" w:right="37"/>
              <w:jc w:val="right"/>
              <w:rPr>
                <w:color w:val="000000"/>
                <w:sz w:val="16"/>
                <w:szCs w:val="16"/>
                <w:u w:val="single"/>
              </w:rPr>
            </w:pPr>
            <w:r>
              <w:rPr>
                <w:rFonts w:cs="Calibri"/>
                <w:color w:val="000000"/>
                <w:sz w:val="16"/>
                <w:szCs w:val="16"/>
              </w:rPr>
              <w:t>2,001,412,225</w:t>
            </w:r>
          </w:p>
        </w:tc>
      </w:tr>
      <w:tr w:rsidR="005C427D" w:rsidRPr="00D47571" w14:paraId="5BA2AAF2" w14:textId="77777777" w:rsidTr="005C427D">
        <w:tc>
          <w:tcPr>
            <w:tcW w:w="2410" w:type="dxa"/>
          </w:tcPr>
          <w:p w14:paraId="15161366" w14:textId="77777777" w:rsidR="005C427D" w:rsidRPr="00D47571" w:rsidRDefault="005C427D" w:rsidP="005C427D">
            <w:pPr>
              <w:tabs>
                <w:tab w:val="left" w:leader="underscore" w:pos="9639"/>
              </w:tabs>
              <w:rPr>
                <w:sz w:val="16"/>
                <w:szCs w:val="16"/>
              </w:rPr>
            </w:pPr>
          </w:p>
        </w:tc>
        <w:tc>
          <w:tcPr>
            <w:tcW w:w="1332" w:type="dxa"/>
            <w:vAlign w:val="center"/>
          </w:tcPr>
          <w:p w14:paraId="0AF2F3A5" w14:textId="5376C672"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2" w:type="dxa"/>
            <w:vAlign w:val="center"/>
          </w:tcPr>
          <w:p w14:paraId="2579AE46" w14:textId="165A8F19"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3" w:type="dxa"/>
            <w:vAlign w:val="center"/>
          </w:tcPr>
          <w:p w14:paraId="481F8926" w14:textId="1278B9D0"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c>
          <w:tcPr>
            <w:tcW w:w="1332" w:type="dxa"/>
            <w:vAlign w:val="center"/>
          </w:tcPr>
          <w:p w14:paraId="7CDD48D9" w14:textId="631047AB"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3,491,261,011</w:t>
            </w:r>
          </w:p>
        </w:tc>
        <w:tc>
          <w:tcPr>
            <w:tcW w:w="1333" w:type="dxa"/>
            <w:vAlign w:val="center"/>
          </w:tcPr>
          <w:p w14:paraId="5040A910" w14:textId="2106C51D" w:rsidR="005C427D" w:rsidRPr="005C427D" w:rsidRDefault="005C427D" w:rsidP="005C427D">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3,433,786,683</w:t>
            </w:r>
          </w:p>
        </w:tc>
      </w:tr>
      <w:bookmarkEnd w:id="10"/>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Pr="00E74967" w:rsidRDefault="0066481B" w:rsidP="00CB41C4">
      <w:pPr>
        <w:tabs>
          <w:tab w:val="left" w:leader="underscore" w:pos="9639"/>
        </w:tabs>
        <w:spacing w:after="0" w:line="240" w:lineRule="auto"/>
        <w:jc w:val="both"/>
        <w:rPr>
          <w:rFonts w:cs="Calibri"/>
        </w:rPr>
      </w:pPr>
    </w:p>
    <w:p w14:paraId="26FDB1A9" w14:textId="77777777" w:rsidR="00231FBE" w:rsidRDefault="00231FBE" w:rsidP="00CB41C4">
      <w:pPr>
        <w:tabs>
          <w:tab w:val="left" w:leader="underscore" w:pos="9639"/>
        </w:tabs>
        <w:spacing w:after="0" w:line="240" w:lineRule="auto"/>
        <w:jc w:val="both"/>
        <w:rPr>
          <w:rFonts w:cs="Calibri"/>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2"/>
        <w:gridCol w:w="1332"/>
        <w:gridCol w:w="1333"/>
        <w:gridCol w:w="1332"/>
        <w:gridCol w:w="1333"/>
      </w:tblGrid>
      <w:tr w:rsidR="001A65D3" w:rsidRPr="001A65D3" w14:paraId="704150B7" w14:textId="77777777" w:rsidTr="004811F0">
        <w:tc>
          <w:tcPr>
            <w:tcW w:w="2405" w:type="dxa"/>
            <w:vAlign w:val="bottom"/>
          </w:tcPr>
          <w:p w14:paraId="56EFE0E5" w14:textId="77777777" w:rsidR="001A65D3" w:rsidRPr="001A65D3" w:rsidRDefault="001A65D3" w:rsidP="004811F0">
            <w:pPr>
              <w:tabs>
                <w:tab w:val="left" w:leader="underscore" w:pos="9639"/>
              </w:tabs>
              <w:jc w:val="center"/>
              <w:rPr>
                <w:b/>
                <w:bCs/>
                <w:color w:val="000000"/>
                <w:sz w:val="16"/>
                <w:szCs w:val="16"/>
              </w:rPr>
            </w:pPr>
            <w:r w:rsidRPr="001A65D3">
              <w:rPr>
                <w:b/>
                <w:bCs/>
                <w:color w:val="000000"/>
                <w:sz w:val="16"/>
                <w:szCs w:val="16"/>
              </w:rPr>
              <w:t>Rubro</w:t>
            </w:r>
          </w:p>
        </w:tc>
        <w:tc>
          <w:tcPr>
            <w:tcW w:w="1332" w:type="dxa"/>
            <w:vAlign w:val="bottom"/>
          </w:tcPr>
          <w:p w14:paraId="4B938902"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2025</w:t>
            </w:r>
          </w:p>
        </w:tc>
        <w:tc>
          <w:tcPr>
            <w:tcW w:w="1332" w:type="dxa"/>
            <w:vAlign w:val="bottom"/>
          </w:tcPr>
          <w:p w14:paraId="75FBE711"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2026</w:t>
            </w:r>
          </w:p>
        </w:tc>
        <w:tc>
          <w:tcPr>
            <w:tcW w:w="1333" w:type="dxa"/>
            <w:vAlign w:val="bottom"/>
          </w:tcPr>
          <w:p w14:paraId="5BDC731B"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2027</w:t>
            </w:r>
          </w:p>
        </w:tc>
        <w:tc>
          <w:tcPr>
            <w:tcW w:w="1332" w:type="dxa"/>
            <w:vAlign w:val="bottom"/>
          </w:tcPr>
          <w:p w14:paraId="3338BD6F"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2028</w:t>
            </w:r>
          </w:p>
        </w:tc>
        <w:tc>
          <w:tcPr>
            <w:tcW w:w="1333" w:type="dxa"/>
            <w:vAlign w:val="bottom"/>
          </w:tcPr>
          <w:p w14:paraId="22C81102" w14:textId="77777777" w:rsidR="001A65D3" w:rsidRPr="001A65D3" w:rsidRDefault="001A65D3" w:rsidP="004811F0">
            <w:pPr>
              <w:tabs>
                <w:tab w:val="left" w:pos="0"/>
                <w:tab w:val="decimal" w:pos="1114"/>
                <w:tab w:val="left" w:leader="underscore" w:pos="9639"/>
              </w:tabs>
              <w:jc w:val="center"/>
              <w:rPr>
                <w:b/>
                <w:bCs/>
                <w:color w:val="000000"/>
                <w:sz w:val="16"/>
                <w:szCs w:val="16"/>
              </w:rPr>
            </w:pPr>
            <w:r w:rsidRPr="001A65D3">
              <w:rPr>
                <w:b/>
                <w:bCs/>
                <w:color w:val="000000"/>
                <w:sz w:val="16"/>
                <w:szCs w:val="16"/>
              </w:rPr>
              <w:t>2029</w:t>
            </w:r>
          </w:p>
        </w:tc>
      </w:tr>
      <w:tr w:rsidR="00CC692F" w:rsidRPr="001A65D3" w14:paraId="15421C3A" w14:textId="77777777" w:rsidTr="00A023FB">
        <w:tc>
          <w:tcPr>
            <w:tcW w:w="2405" w:type="dxa"/>
            <w:vAlign w:val="bottom"/>
          </w:tcPr>
          <w:p w14:paraId="14C27844" w14:textId="13344D50" w:rsidR="00CC692F" w:rsidRPr="001A65D3" w:rsidRDefault="00CC692F" w:rsidP="00CC692F">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332" w:type="dxa"/>
            <w:vAlign w:val="center"/>
          </w:tcPr>
          <w:p w14:paraId="038C7EE1"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1,967,700,760</w:t>
            </w:r>
          </w:p>
        </w:tc>
        <w:tc>
          <w:tcPr>
            <w:tcW w:w="1332" w:type="dxa"/>
            <w:vAlign w:val="center"/>
          </w:tcPr>
          <w:p w14:paraId="3FEC3DBA"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2,046,408,790</w:t>
            </w:r>
          </w:p>
        </w:tc>
        <w:tc>
          <w:tcPr>
            <w:tcW w:w="1333" w:type="dxa"/>
            <w:vAlign w:val="center"/>
          </w:tcPr>
          <w:p w14:paraId="6508E70E"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2,148,729,229</w:t>
            </w:r>
          </w:p>
        </w:tc>
        <w:tc>
          <w:tcPr>
            <w:tcW w:w="1332" w:type="dxa"/>
            <w:vAlign w:val="center"/>
          </w:tcPr>
          <w:p w14:paraId="2194DFCD"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2,256,165,691</w:t>
            </w:r>
          </w:p>
        </w:tc>
        <w:tc>
          <w:tcPr>
            <w:tcW w:w="1333" w:type="dxa"/>
            <w:vAlign w:val="center"/>
          </w:tcPr>
          <w:p w14:paraId="675A7B89" w14:textId="77777777" w:rsidR="00CC692F" w:rsidRPr="001A65D3" w:rsidRDefault="00CC692F" w:rsidP="00CC692F">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2,368,973,975</w:t>
            </w:r>
          </w:p>
        </w:tc>
      </w:tr>
      <w:tr w:rsidR="00CC692F" w:rsidRPr="001A65D3" w14:paraId="766A5DB7" w14:textId="77777777" w:rsidTr="004811F0">
        <w:trPr>
          <w:trHeight w:val="1418"/>
        </w:trPr>
        <w:tc>
          <w:tcPr>
            <w:tcW w:w="2405" w:type="dxa"/>
            <w:vAlign w:val="bottom"/>
          </w:tcPr>
          <w:p w14:paraId="24418E4D" w14:textId="422B58E8" w:rsidR="00CC692F" w:rsidRPr="001A65D3" w:rsidRDefault="00CC692F" w:rsidP="00CC692F">
            <w:pPr>
              <w:tabs>
                <w:tab w:val="left" w:leader="underscore" w:pos="9639"/>
              </w:tabs>
              <w:ind w:left="168" w:hanging="142"/>
              <w:rPr>
                <w:sz w:val="16"/>
                <w:szCs w:val="16"/>
              </w:rPr>
            </w:pPr>
            <w:r>
              <w:rPr>
                <w:color w:val="000000"/>
                <w:sz w:val="16"/>
                <w:szCs w:val="16"/>
              </w:rPr>
              <w:t>Ingresos Federales</w:t>
            </w:r>
          </w:p>
        </w:tc>
        <w:tc>
          <w:tcPr>
            <w:tcW w:w="1332" w:type="dxa"/>
            <w:vAlign w:val="bottom"/>
          </w:tcPr>
          <w:p w14:paraId="01FCE06A"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2,443,703,899</w:t>
            </w:r>
          </w:p>
        </w:tc>
        <w:tc>
          <w:tcPr>
            <w:tcW w:w="1332" w:type="dxa"/>
            <w:vAlign w:val="bottom"/>
          </w:tcPr>
          <w:p w14:paraId="5D39FE13"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2,541,452,054</w:t>
            </w:r>
          </w:p>
        </w:tc>
        <w:tc>
          <w:tcPr>
            <w:tcW w:w="1333" w:type="dxa"/>
            <w:vAlign w:val="bottom"/>
          </w:tcPr>
          <w:p w14:paraId="14D50842"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2,643,110,137</w:t>
            </w:r>
          </w:p>
        </w:tc>
        <w:tc>
          <w:tcPr>
            <w:tcW w:w="1332" w:type="dxa"/>
            <w:vAlign w:val="bottom"/>
          </w:tcPr>
          <w:p w14:paraId="4BAA7EED"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2,748,834,542</w:t>
            </w:r>
          </w:p>
        </w:tc>
        <w:tc>
          <w:tcPr>
            <w:tcW w:w="1333" w:type="dxa"/>
            <w:vAlign w:val="bottom"/>
          </w:tcPr>
          <w:p w14:paraId="66D437B7" w14:textId="77777777" w:rsidR="00CC692F" w:rsidRPr="001A65D3" w:rsidRDefault="00CC692F" w:rsidP="00CC692F">
            <w:pPr>
              <w:tabs>
                <w:tab w:val="left" w:pos="0"/>
                <w:tab w:val="decimal" w:pos="1114"/>
                <w:tab w:val="left" w:leader="underscore" w:pos="9639"/>
              </w:tabs>
              <w:jc w:val="right"/>
              <w:rPr>
                <w:sz w:val="16"/>
                <w:szCs w:val="16"/>
                <w:u w:val="single"/>
              </w:rPr>
            </w:pPr>
            <w:r w:rsidRPr="001A65D3">
              <w:rPr>
                <w:color w:val="000000"/>
                <w:sz w:val="16"/>
                <w:szCs w:val="16"/>
                <w:u w:val="single"/>
              </w:rPr>
              <w:tab/>
              <w:t>2,858,787,924</w:t>
            </w:r>
          </w:p>
        </w:tc>
      </w:tr>
      <w:tr w:rsidR="001A65D3" w:rsidRPr="00F72509" w14:paraId="4830499F" w14:textId="77777777" w:rsidTr="004811F0">
        <w:tc>
          <w:tcPr>
            <w:tcW w:w="2405" w:type="dxa"/>
          </w:tcPr>
          <w:p w14:paraId="3E1CDE66" w14:textId="77777777" w:rsidR="001A65D3" w:rsidRPr="001A65D3" w:rsidRDefault="001A65D3" w:rsidP="004811F0">
            <w:pPr>
              <w:tabs>
                <w:tab w:val="left" w:leader="underscore" w:pos="9639"/>
              </w:tabs>
              <w:rPr>
                <w:sz w:val="16"/>
                <w:szCs w:val="16"/>
              </w:rPr>
            </w:pPr>
          </w:p>
        </w:tc>
        <w:tc>
          <w:tcPr>
            <w:tcW w:w="1332" w:type="dxa"/>
            <w:vAlign w:val="center"/>
          </w:tcPr>
          <w:p w14:paraId="748CB8B5"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4,411,404,659</w:t>
            </w:r>
          </w:p>
        </w:tc>
        <w:tc>
          <w:tcPr>
            <w:tcW w:w="1332" w:type="dxa"/>
            <w:vAlign w:val="center"/>
          </w:tcPr>
          <w:p w14:paraId="5596E6CC"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4,587,860,845</w:t>
            </w:r>
          </w:p>
        </w:tc>
        <w:tc>
          <w:tcPr>
            <w:tcW w:w="1333" w:type="dxa"/>
            <w:vAlign w:val="center"/>
          </w:tcPr>
          <w:p w14:paraId="19210172"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4,791,839,367</w:t>
            </w:r>
          </w:p>
        </w:tc>
        <w:tc>
          <w:tcPr>
            <w:tcW w:w="1332" w:type="dxa"/>
            <w:vAlign w:val="center"/>
          </w:tcPr>
          <w:p w14:paraId="22412405" w14:textId="77777777" w:rsidR="001A65D3" w:rsidRPr="001A65D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5,005,000,234</w:t>
            </w:r>
          </w:p>
        </w:tc>
        <w:tc>
          <w:tcPr>
            <w:tcW w:w="1333" w:type="dxa"/>
            <w:vAlign w:val="center"/>
          </w:tcPr>
          <w:p w14:paraId="380F90BC" w14:textId="77777777" w:rsidR="001A65D3" w:rsidRPr="00850D93" w:rsidRDefault="001A65D3" w:rsidP="004811F0">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5,227,761,900</w:t>
            </w:r>
          </w:p>
        </w:tc>
      </w:tr>
    </w:tbl>
    <w:p w14:paraId="4E1A02F2" w14:textId="31BF2238" w:rsidR="00B27F13" w:rsidRDefault="00B27F13" w:rsidP="00CB41C4">
      <w:pPr>
        <w:tabs>
          <w:tab w:val="left" w:leader="underscore" w:pos="9639"/>
        </w:tabs>
        <w:spacing w:after="0" w:line="240" w:lineRule="auto"/>
        <w:jc w:val="both"/>
        <w:rPr>
          <w:rFonts w:cs="Calibri"/>
        </w:rPr>
      </w:pPr>
    </w:p>
    <w:p w14:paraId="0C90806F" w14:textId="77777777" w:rsidR="00B27F13" w:rsidRDefault="00B27F13">
      <w:pPr>
        <w:spacing w:after="0" w:line="240" w:lineRule="auto"/>
        <w:rPr>
          <w:rFonts w:cs="Calibri"/>
        </w:rPr>
      </w:pPr>
      <w:r>
        <w:rPr>
          <w:rFonts w:cs="Calibri"/>
        </w:rPr>
        <w:br w:type="page"/>
      </w: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929F9A" w14:textId="77777777"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Pr>
          <w:rFonts w:ascii="Trebuchet MS" w:hAnsi="Trebuchet MS"/>
          <w:sz w:val="20"/>
          <w:szCs w:val="20"/>
        </w:rPr>
        <w:t>4</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3752A23E" w14:textId="77777777"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1836CAB6" w14:textId="77777777" w:rsidR="009B27E0" w:rsidRDefault="009B27E0" w:rsidP="009B27E0">
      <w:pPr>
        <w:tabs>
          <w:tab w:val="left" w:leader="underscore" w:pos="9639"/>
        </w:tabs>
        <w:spacing w:after="0" w:line="240" w:lineRule="auto"/>
        <w:jc w:val="both"/>
        <w:rPr>
          <w:rFonts w:ascii="Trebuchet MS" w:hAnsi="Trebuchet MS"/>
          <w:sz w:val="20"/>
          <w:szCs w:val="20"/>
        </w:rPr>
      </w:pPr>
    </w:p>
    <w:p w14:paraId="24C80168" w14:textId="629772F3"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 xml:space="preserve">La Universidad de Guanajuato tiene en </w:t>
      </w:r>
      <w:r w:rsidRPr="000A29CC">
        <w:rPr>
          <w:rFonts w:ascii="Trebuchet MS" w:hAnsi="Trebuchet MS"/>
          <w:sz w:val="20"/>
          <w:szCs w:val="20"/>
        </w:rPr>
        <w:t xml:space="preserve">proceso </w:t>
      </w:r>
      <w:r w:rsidR="00781ED6">
        <w:rPr>
          <w:rFonts w:ascii="Trebuchet MS" w:hAnsi="Trebuchet MS"/>
          <w:sz w:val="20"/>
          <w:szCs w:val="20"/>
        </w:rPr>
        <w:t>221</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27EAB1DF" w14:textId="77777777" w:rsidR="006E2B82" w:rsidRPr="001E43D4" w:rsidRDefault="006E2B82" w:rsidP="006E2B82">
      <w:pPr>
        <w:tabs>
          <w:tab w:val="left" w:leader="underscore" w:pos="9639"/>
        </w:tabs>
        <w:spacing w:after="0" w:line="240" w:lineRule="auto"/>
        <w:jc w:val="both"/>
        <w:rPr>
          <w:rFonts w:ascii="Trebuchet MS" w:hAnsi="Trebuchet MS"/>
          <w:sz w:val="20"/>
          <w:szCs w:val="20"/>
        </w:rPr>
      </w:pPr>
    </w:p>
    <w:tbl>
      <w:tblPr>
        <w:tblW w:w="10969" w:type="dxa"/>
        <w:tblInd w:w="-577" w:type="dxa"/>
        <w:tblCellMar>
          <w:left w:w="70" w:type="dxa"/>
          <w:right w:w="70" w:type="dxa"/>
        </w:tblCellMar>
        <w:tblLook w:val="04A0" w:firstRow="1" w:lastRow="0" w:firstColumn="1" w:lastColumn="0" w:noHBand="0" w:noVBand="1"/>
      </w:tblPr>
      <w:tblGrid>
        <w:gridCol w:w="1232"/>
        <w:gridCol w:w="1904"/>
        <w:gridCol w:w="1530"/>
        <w:gridCol w:w="1268"/>
        <w:gridCol w:w="2578"/>
        <w:gridCol w:w="1413"/>
        <w:gridCol w:w="1044"/>
      </w:tblGrid>
      <w:tr w:rsidR="006E2B82" w:rsidRPr="003D1C2C" w14:paraId="3526FBD8" w14:textId="77777777" w:rsidTr="00781ED6">
        <w:trPr>
          <w:trHeight w:val="525"/>
          <w:tblHeader/>
        </w:trPr>
        <w:tc>
          <w:tcPr>
            <w:tcW w:w="123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5FC160" w14:textId="77777777" w:rsidR="00781ED6" w:rsidRDefault="006E2B82" w:rsidP="00781ED6">
            <w:pPr>
              <w:spacing w:after="0" w:line="240" w:lineRule="auto"/>
              <w:ind w:left="-501" w:right="-393"/>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lastRenderedPageBreak/>
              <w:t xml:space="preserve">Número </w:t>
            </w:r>
            <w:r w:rsidR="00781ED6" w:rsidRPr="00781ED6">
              <w:rPr>
                <w:rFonts w:ascii="Times New Roman" w:eastAsia="Times New Roman" w:hAnsi="Times New Roman"/>
                <w:b/>
                <w:bCs/>
                <w:sz w:val="20"/>
                <w:szCs w:val="20"/>
                <w:lang w:eastAsia="es-MX"/>
              </w:rPr>
              <w:t>de</w:t>
            </w:r>
          </w:p>
          <w:p w14:paraId="550364F6" w14:textId="038A748B" w:rsidR="006E2B82" w:rsidRPr="00781ED6" w:rsidRDefault="00781ED6" w:rsidP="00781ED6">
            <w:pPr>
              <w:spacing w:after="0" w:line="240" w:lineRule="auto"/>
              <w:ind w:left="-501" w:right="-393"/>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E452474"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3D947658"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038CDFB8"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4E6F4FD6"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F56B536"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5C72A4BE" w14:textId="77777777" w:rsidR="006E2B82" w:rsidRPr="00781ED6" w:rsidRDefault="006E2B82" w:rsidP="006063CA">
            <w:pPr>
              <w:spacing w:after="0" w:line="240" w:lineRule="auto"/>
              <w:jc w:val="center"/>
              <w:rPr>
                <w:rFonts w:ascii="Times New Roman" w:eastAsia="Times New Roman" w:hAnsi="Times New Roman"/>
                <w:b/>
                <w:bCs/>
                <w:sz w:val="20"/>
                <w:szCs w:val="20"/>
                <w:lang w:eastAsia="es-MX"/>
              </w:rPr>
            </w:pPr>
            <w:r w:rsidRPr="00781ED6">
              <w:rPr>
                <w:rFonts w:ascii="Times New Roman" w:eastAsia="Times New Roman" w:hAnsi="Times New Roman"/>
                <w:b/>
                <w:bCs/>
                <w:sz w:val="20"/>
                <w:szCs w:val="20"/>
                <w:lang w:eastAsia="es-MX"/>
              </w:rPr>
              <w:t>Juzgado</w:t>
            </w:r>
          </w:p>
        </w:tc>
      </w:tr>
      <w:tr w:rsidR="00781ED6" w:rsidRPr="003D1C2C" w14:paraId="36499896"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339859BF" w14:textId="51F129E5"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624/2013</w:t>
            </w:r>
          </w:p>
        </w:tc>
        <w:tc>
          <w:tcPr>
            <w:tcW w:w="1904" w:type="dxa"/>
            <w:tcBorders>
              <w:top w:val="nil"/>
              <w:left w:val="nil"/>
              <w:bottom w:val="single" w:sz="4" w:space="0" w:color="auto"/>
              <w:right w:val="single" w:sz="4" w:space="0" w:color="auto"/>
            </w:tcBorders>
            <w:shd w:val="clear" w:color="auto" w:fill="auto"/>
            <w:vAlign w:val="center"/>
            <w:hideMark/>
          </w:tcPr>
          <w:p w14:paraId="76B7CAC7" w14:textId="76E8754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3EB1EB2" w14:textId="3AD49CE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6E054371" w14:textId="10DF55AA"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Hernández Ramírez Ignacio</w:t>
            </w:r>
          </w:p>
        </w:tc>
        <w:tc>
          <w:tcPr>
            <w:tcW w:w="2578" w:type="dxa"/>
            <w:tcBorders>
              <w:top w:val="nil"/>
              <w:left w:val="nil"/>
              <w:bottom w:val="single" w:sz="4" w:space="0" w:color="auto"/>
              <w:right w:val="single" w:sz="4" w:space="0" w:color="auto"/>
            </w:tcBorders>
            <w:shd w:val="clear" w:color="auto" w:fill="auto"/>
            <w:vAlign w:val="center"/>
            <w:hideMark/>
          </w:tcPr>
          <w:p w14:paraId="5AF92968" w14:textId="2ECB44D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23B64F3A" w14:textId="1BBBF3C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240A32BF" w14:textId="31928116"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75B5E49B"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406F8C1B" w14:textId="26823CF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691/2018</w:t>
            </w:r>
          </w:p>
        </w:tc>
        <w:tc>
          <w:tcPr>
            <w:tcW w:w="1904" w:type="dxa"/>
            <w:tcBorders>
              <w:top w:val="nil"/>
              <w:left w:val="nil"/>
              <w:bottom w:val="single" w:sz="4" w:space="0" w:color="auto"/>
              <w:right w:val="single" w:sz="4" w:space="0" w:color="auto"/>
            </w:tcBorders>
            <w:shd w:val="clear" w:color="auto" w:fill="auto"/>
            <w:vAlign w:val="center"/>
            <w:hideMark/>
          </w:tcPr>
          <w:p w14:paraId="125ECAF1" w14:textId="69C5E65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599C3EF0" w14:textId="1AF44C7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A2770A7" w14:textId="52C6899C"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Gallardo Carrillo José de Jesús</w:t>
            </w:r>
          </w:p>
        </w:tc>
        <w:tc>
          <w:tcPr>
            <w:tcW w:w="2578" w:type="dxa"/>
            <w:tcBorders>
              <w:top w:val="nil"/>
              <w:left w:val="nil"/>
              <w:bottom w:val="single" w:sz="4" w:space="0" w:color="auto"/>
              <w:right w:val="single" w:sz="4" w:space="0" w:color="auto"/>
            </w:tcBorders>
            <w:shd w:val="clear" w:color="auto" w:fill="auto"/>
            <w:vAlign w:val="center"/>
            <w:hideMark/>
          </w:tcPr>
          <w:p w14:paraId="36198CFC" w14:textId="23BD6A4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0D4282FB" w14:textId="0021161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BA78C15" w14:textId="5A6C917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57948E3A"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5E100C7C" w14:textId="64E4693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117/1996</w:t>
            </w:r>
          </w:p>
        </w:tc>
        <w:tc>
          <w:tcPr>
            <w:tcW w:w="1904" w:type="dxa"/>
            <w:tcBorders>
              <w:top w:val="nil"/>
              <w:left w:val="nil"/>
              <w:bottom w:val="single" w:sz="4" w:space="0" w:color="auto"/>
              <w:right w:val="single" w:sz="4" w:space="0" w:color="auto"/>
            </w:tcBorders>
            <w:shd w:val="clear" w:color="auto" w:fill="auto"/>
            <w:vAlign w:val="center"/>
            <w:hideMark/>
          </w:tcPr>
          <w:p w14:paraId="28BBECC1" w14:textId="55CD1EA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C767DAE" w14:textId="2A571D4F"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8C066AE" w14:textId="4DD4A2A4"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Velázquez Rangel, Arturo</w:t>
            </w:r>
          </w:p>
        </w:tc>
        <w:tc>
          <w:tcPr>
            <w:tcW w:w="2578" w:type="dxa"/>
            <w:tcBorders>
              <w:top w:val="nil"/>
              <w:left w:val="nil"/>
              <w:bottom w:val="single" w:sz="4" w:space="0" w:color="auto"/>
              <w:right w:val="single" w:sz="4" w:space="0" w:color="auto"/>
            </w:tcBorders>
            <w:shd w:val="clear" w:color="auto" w:fill="auto"/>
            <w:vAlign w:val="center"/>
            <w:hideMark/>
          </w:tcPr>
          <w:p w14:paraId="083025B0" w14:textId="7E39857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A2289CF" w14:textId="584EAAC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5A0D9EDE" w14:textId="246D6208"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Segundo Civil de Partido</w:t>
            </w:r>
          </w:p>
        </w:tc>
      </w:tr>
      <w:tr w:rsidR="00781ED6" w:rsidRPr="003D1C2C" w14:paraId="2C4383AA"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79213044" w14:textId="7899407F"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252/2015</w:t>
            </w:r>
          </w:p>
        </w:tc>
        <w:tc>
          <w:tcPr>
            <w:tcW w:w="1904" w:type="dxa"/>
            <w:tcBorders>
              <w:top w:val="nil"/>
              <w:left w:val="nil"/>
              <w:bottom w:val="single" w:sz="4" w:space="0" w:color="auto"/>
              <w:right w:val="single" w:sz="4" w:space="0" w:color="auto"/>
            </w:tcBorders>
            <w:shd w:val="clear" w:color="auto" w:fill="auto"/>
            <w:vAlign w:val="center"/>
            <w:hideMark/>
          </w:tcPr>
          <w:p w14:paraId="0945A1CF" w14:textId="47BA2ECE"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F5D347A" w14:textId="1000C310"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45B30197" w14:textId="4DA5D85A"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Villalpando Rubio, Rodolfo</w:t>
            </w:r>
          </w:p>
        </w:tc>
        <w:tc>
          <w:tcPr>
            <w:tcW w:w="2578" w:type="dxa"/>
            <w:tcBorders>
              <w:top w:val="nil"/>
              <w:left w:val="nil"/>
              <w:bottom w:val="single" w:sz="4" w:space="0" w:color="auto"/>
              <w:right w:val="single" w:sz="4" w:space="0" w:color="auto"/>
            </w:tcBorders>
            <w:shd w:val="clear" w:color="auto" w:fill="auto"/>
            <w:vAlign w:val="center"/>
            <w:hideMark/>
          </w:tcPr>
          <w:p w14:paraId="7F50CC74" w14:textId="6D86BF88"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59C06CBC" w14:textId="6431B52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46184608" w14:textId="2DCFA56C"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Décimo Cuarto Civil de Partido</w:t>
            </w:r>
          </w:p>
        </w:tc>
      </w:tr>
      <w:tr w:rsidR="00781ED6" w:rsidRPr="003D1C2C" w14:paraId="5B45A7CD"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351ED3AB" w14:textId="2469957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240/2023</w:t>
            </w:r>
          </w:p>
        </w:tc>
        <w:tc>
          <w:tcPr>
            <w:tcW w:w="1904" w:type="dxa"/>
            <w:tcBorders>
              <w:top w:val="nil"/>
              <w:left w:val="nil"/>
              <w:bottom w:val="single" w:sz="4" w:space="0" w:color="auto"/>
              <w:right w:val="single" w:sz="4" w:space="0" w:color="auto"/>
            </w:tcBorders>
            <w:shd w:val="clear" w:color="auto" w:fill="auto"/>
            <w:vAlign w:val="center"/>
            <w:hideMark/>
          </w:tcPr>
          <w:p w14:paraId="7AAB28D3" w14:textId="32CC3120"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134A2176" w14:textId="3E20D7F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DF27A9F" w14:textId="3D05A2E3"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M. Lourdes Castro Sosa</w:t>
            </w:r>
          </w:p>
        </w:tc>
        <w:tc>
          <w:tcPr>
            <w:tcW w:w="2578" w:type="dxa"/>
            <w:tcBorders>
              <w:top w:val="nil"/>
              <w:left w:val="nil"/>
              <w:bottom w:val="single" w:sz="4" w:space="0" w:color="auto"/>
              <w:right w:val="single" w:sz="4" w:space="0" w:color="auto"/>
            </w:tcBorders>
            <w:shd w:val="clear" w:color="auto" w:fill="auto"/>
            <w:vAlign w:val="center"/>
            <w:hideMark/>
          </w:tcPr>
          <w:p w14:paraId="7A56D590" w14:textId="60D9F157"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Primera sección, en búsqueda de bienes.</w:t>
            </w:r>
          </w:p>
        </w:tc>
        <w:tc>
          <w:tcPr>
            <w:tcW w:w="1413" w:type="dxa"/>
            <w:tcBorders>
              <w:top w:val="nil"/>
              <w:left w:val="nil"/>
              <w:bottom w:val="single" w:sz="4" w:space="0" w:color="auto"/>
              <w:right w:val="single" w:sz="4" w:space="0" w:color="auto"/>
            </w:tcBorders>
            <w:shd w:val="clear" w:color="auto" w:fill="auto"/>
            <w:vAlign w:val="center"/>
            <w:hideMark/>
          </w:tcPr>
          <w:p w14:paraId="704BF12B" w14:textId="10CEC2B6"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León</w:t>
            </w:r>
          </w:p>
        </w:tc>
        <w:tc>
          <w:tcPr>
            <w:tcW w:w="1044" w:type="dxa"/>
            <w:tcBorders>
              <w:top w:val="nil"/>
              <w:left w:val="nil"/>
              <w:bottom w:val="single" w:sz="4" w:space="0" w:color="auto"/>
              <w:right w:val="single" w:sz="8" w:space="0" w:color="auto"/>
            </w:tcBorders>
            <w:shd w:val="clear" w:color="auto" w:fill="auto"/>
            <w:vAlign w:val="center"/>
            <w:hideMark/>
          </w:tcPr>
          <w:p w14:paraId="2C6FE234" w14:textId="7FF55FF2"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Quinto Civil de Partido</w:t>
            </w:r>
          </w:p>
        </w:tc>
      </w:tr>
      <w:tr w:rsidR="00781ED6" w:rsidRPr="003D1C2C" w14:paraId="02CDD1E6" w14:textId="77777777" w:rsidTr="00781ED6">
        <w:trPr>
          <w:trHeight w:val="178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1A43452F" w14:textId="48B79FA7"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197/2023</w:t>
            </w:r>
          </w:p>
        </w:tc>
        <w:tc>
          <w:tcPr>
            <w:tcW w:w="1904" w:type="dxa"/>
            <w:tcBorders>
              <w:top w:val="nil"/>
              <w:left w:val="nil"/>
              <w:bottom w:val="single" w:sz="4" w:space="0" w:color="auto"/>
              <w:right w:val="single" w:sz="4" w:space="0" w:color="auto"/>
            </w:tcBorders>
            <w:shd w:val="clear" w:color="auto" w:fill="auto"/>
            <w:vAlign w:val="center"/>
            <w:hideMark/>
          </w:tcPr>
          <w:p w14:paraId="21C1CA28" w14:textId="6075269D"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22752F35" w14:textId="721568E1"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04A0D375" w14:textId="60634F78"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José Éfren Ramon Gomez Mejía</w:t>
            </w:r>
          </w:p>
        </w:tc>
        <w:tc>
          <w:tcPr>
            <w:tcW w:w="2578" w:type="dxa"/>
            <w:tcBorders>
              <w:top w:val="nil"/>
              <w:left w:val="nil"/>
              <w:bottom w:val="single" w:sz="4" w:space="0" w:color="auto"/>
              <w:right w:val="single" w:sz="4" w:space="0" w:color="auto"/>
            </w:tcBorders>
            <w:shd w:val="clear" w:color="auto" w:fill="auto"/>
            <w:vAlign w:val="center"/>
            <w:hideMark/>
          </w:tcPr>
          <w:p w14:paraId="28DCE2C2" w14:textId="7C3A5976"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3CF3E93E" w14:textId="097743E9"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Valle de Santiago</w:t>
            </w:r>
          </w:p>
        </w:tc>
        <w:tc>
          <w:tcPr>
            <w:tcW w:w="1044" w:type="dxa"/>
            <w:tcBorders>
              <w:top w:val="nil"/>
              <w:left w:val="nil"/>
              <w:bottom w:val="single" w:sz="4" w:space="0" w:color="auto"/>
              <w:right w:val="single" w:sz="8" w:space="0" w:color="auto"/>
            </w:tcBorders>
            <w:shd w:val="clear" w:color="auto" w:fill="auto"/>
            <w:vAlign w:val="center"/>
            <w:hideMark/>
          </w:tcPr>
          <w:p w14:paraId="7447D546" w14:textId="05A18FCA"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Primero Civil de Partido</w:t>
            </w:r>
          </w:p>
        </w:tc>
      </w:tr>
      <w:tr w:rsidR="00781ED6" w:rsidRPr="004128DA" w14:paraId="59AFC806" w14:textId="77777777" w:rsidTr="00781ED6">
        <w:trPr>
          <w:trHeight w:val="1275"/>
          <w:tblHeader/>
        </w:trPr>
        <w:tc>
          <w:tcPr>
            <w:tcW w:w="1232" w:type="dxa"/>
            <w:tcBorders>
              <w:top w:val="nil"/>
              <w:left w:val="single" w:sz="8" w:space="0" w:color="auto"/>
              <w:bottom w:val="single" w:sz="4" w:space="0" w:color="auto"/>
              <w:right w:val="single" w:sz="4" w:space="0" w:color="auto"/>
            </w:tcBorders>
            <w:shd w:val="clear" w:color="auto" w:fill="auto"/>
            <w:vAlign w:val="center"/>
            <w:hideMark/>
          </w:tcPr>
          <w:p w14:paraId="2CFA1496" w14:textId="3F4AF9FB"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381/2018</w:t>
            </w:r>
          </w:p>
        </w:tc>
        <w:tc>
          <w:tcPr>
            <w:tcW w:w="1904" w:type="dxa"/>
            <w:tcBorders>
              <w:top w:val="nil"/>
              <w:left w:val="nil"/>
              <w:bottom w:val="single" w:sz="4" w:space="0" w:color="auto"/>
              <w:right w:val="single" w:sz="4" w:space="0" w:color="auto"/>
            </w:tcBorders>
            <w:shd w:val="clear" w:color="auto" w:fill="auto"/>
            <w:vAlign w:val="center"/>
            <w:hideMark/>
          </w:tcPr>
          <w:p w14:paraId="10F48288" w14:textId="4BE21DCF"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F406331" w14:textId="2588681B"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342A02BA" w14:textId="3570BEC4"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A bienes de Agustín Regalado Cerna</w:t>
            </w:r>
          </w:p>
        </w:tc>
        <w:tc>
          <w:tcPr>
            <w:tcW w:w="2578" w:type="dxa"/>
            <w:tcBorders>
              <w:top w:val="nil"/>
              <w:left w:val="nil"/>
              <w:bottom w:val="single" w:sz="4" w:space="0" w:color="auto"/>
              <w:right w:val="single" w:sz="4" w:space="0" w:color="auto"/>
            </w:tcBorders>
            <w:shd w:val="clear" w:color="auto" w:fill="auto"/>
            <w:vAlign w:val="center"/>
            <w:hideMark/>
          </w:tcPr>
          <w:p w14:paraId="4AB76EB0" w14:textId="2E5940B1" w:rsidR="00781ED6" w:rsidRPr="006E2B82" w:rsidRDefault="00781ED6" w:rsidP="00781ED6">
            <w:pPr>
              <w:spacing w:after="0" w:line="240" w:lineRule="auto"/>
              <w:rPr>
                <w:rFonts w:ascii="Times New Roman" w:eastAsia="Times New Roman" w:hAnsi="Times New Roman"/>
                <w:color w:val="000000"/>
                <w:sz w:val="20"/>
                <w:szCs w:val="20"/>
                <w:highlight w:val="yellow"/>
                <w:lang w:eastAsia="es-MX"/>
              </w:rPr>
            </w:pPr>
            <w:r>
              <w:rPr>
                <w:rFonts w:cs="Calibri"/>
                <w:color w:val="000000"/>
              </w:rPr>
              <w:t xml:space="preserve">Primera sección, en localización de bienes. </w:t>
            </w:r>
          </w:p>
        </w:tc>
        <w:tc>
          <w:tcPr>
            <w:tcW w:w="1413" w:type="dxa"/>
            <w:tcBorders>
              <w:top w:val="nil"/>
              <w:left w:val="nil"/>
              <w:bottom w:val="single" w:sz="4" w:space="0" w:color="auto"/>
              <w:right w:val="single" w:sz="4" w:space="0" w:color="auto"/>
            </w:tcBorders>
            <w:shd w:val="clear" w:color="auto" w:fill="auto"/>
            <w:vAlign w:val="center"/>
            <w:hideMark/>
          </w:tcPr>
          <w:p w14:paraId="7A1E3CF6" w14:textId="567AF333"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Yuriria</w:t>
            </w:r>
          </w:p>
        </w:tc>
        <w:tc>
          <w:tcPr>
            <w:tcW w:w="1044" w:type="dxa"/>
            <w:tcBorders>
              <w:top w:val="nil"/>
              <w:left w:val="nil"/>
              <w:bottom w:val="single" w:sz="4" w:space="0" w:color="auto"/>
              <w:right w:val="single" w:sz="8" w:space="0" w:color="auto"/>
            </w:tcBorders>
            <w:shd w:val="clear" w:color="auto" w:fill="auto"/>
            <w:vAlign w:val="center"/>
            <w:hideMark/>
          </w:tcPr>
          <w:p w14:paraId="7515A033" w14:textId="78C28FB1" w:rsidR="00781ED6" w:rsidRPr="006E2B82" w:rsidRDefault="00781ED6" w:rsidP="00781ED6">
            <w:pPr>
              <w:spacing w:after="0" w:line="240" w:lineRule="auto"/>
              <w:rPr>
                <w:rFonts w:ascii="Times New Roman" w:eastAsia="Times New Roman" w:hAnsi="Times New Roman"/>
                <w:sz w:val="20"/>
                <w:szCs w:val="20"/>
                <w:highlight w:val="yellow"/>
                <w:lang w:eastAsia="es-MX"/>
              </w:rPr>
            </w:pPr>
            <w:r>
              <w:rPr>
                <w:rFonts w:cs="Calibri"/>
                <w:color w:val="000000"/>
              </w:rPr>
              <w:t>Juzgado Único Civil de Partido</w:t>
            </w:r>
          </w:p>
        </w:tc>
      </w:tr>
    </w:tbl>
    <w:p w14:paraId="55D08D4D" w14:textId="646859ED" w:rsidR="00B27F13" w:rsidRDefault="00B27F13" w:rsidP="00CB41C4">
      <w:pPr>
        <w:tabs>
          <w:tab w:val="left" w:leader="underscore" w:pos="9639"/>
        </w:tabs>
        <w:spacing w:after="0" w:line="240" w:lineRule="auto"/>
        <w:jc w:val="both"/>
        <w:rPr>
          <w:rFonts w:cs="Calibri"/>
        </w:rPr>
      </w:pPr>
    </w:p>
    <w:p w14:paraId="124ECAC4" w14:textId="77777777" w:rsidR="00B27F13" w:rsidRDefault="00B27F13">
      <w:pPr>
        <w:spacing w:after="0" w:line="240" w:lineRule="auto"/>
        <w:rPr>
          <w:rFonts w:cs="Calibri"/>
        </w:rPr>
      </w:pPr>
      <w:r>
        <w:rPr>
          <w:rFonts w:cs="Calibri"/>
        </w:rPr>
        <w:br w:type="page"/>
      </w:r>
    </w:p>
    <w:p w14:paraId="6B4580BA"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856B" w14:textId="77777777" w:rsidR="006238B7" w:rsidRDefault="006238B7" w:rsidP="00E00323">
      <w:pPr>
        <w:spacing w:after="0" w:line="240" w:lineRule="auto"/>
      </w:pPr>
      <w:r>
        <w:separator/>
      </w:r>
    </w:p>
  </w:endnote>
  <w:endnote w:type="continuationSeparator" w:id="0">
    <w:p w14:paraId="032DC301" w14:textId="77777777" w:rsidR="006238B7" w:rsidRDefault="006238B7"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93A8" w14:textId="77777777" w:rsidR="006238B7" w:rsidRDefault="006238B7" w:rsidP="00E00323">
      <w:pPr>
        <w:spacing w:after="0" w:line="240" w:lineRule="auto"/>
      </w:pPr>
      <w:r>
        <w:separator/>
      </w:r>
    </w:p>
  </w:footnote>
  <w:footnote w:type="continuationSeparator" w:id="0">
    <w:p w14:paraId="35418AF7" w14:textId="77777777" w:rsidR="006238B7" w:rsidRDefault="006238B7"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651A4C4F" w14:textId="7ED9DFD4" w:rsidR="00A4610E" w:rsidRDefault="00A4610E" w:rsidP="00A4610E">
    <w:pPr>
      <w:pStyle w:val="Encabezado"/>
      <w:spacing w:after="0" w:line="240" w:lineRule="auto"/>
      <w:jc w:val="center"/>
    </w:pPr>
    <w:r w:rsidRPr="00A4610E">
      <w:t>CORRESPONDI</w:t>
    </w:r>
    <w:r w:rsidR="00DD018C">
      <w:t>E</w:t>
    </w:r>
    <w:r w:rsidRPr="00A4610E">
      <w:t xml:space="preserve">NTES AL </w:t>
    </w:r>
    <w:r w:rsidR="00D75307">
      <w:t>31 DE DICIEMBRE DEL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3"/>
  </w:num>
  <w:num w:numId="2" w16cid:durableId="1598906956">
    <w:abstractNumId w:val="14"/>
  </w:num>
  <w:num w:numId="3" w16cid:durableId="1813670333">
    <w:abstractNumId w:val="8"/>
  </w:num>
  <w:num w:numId="4" w16cid:durableId="744957867">
    <w:abstractNumId w:val="1"/>
  </w:num>
  <w:num w:numId="5" w16cid:durableId="738750327">
    <w:abstractNumId w:val="9"/>
  </w:num>
  <w:num w:numId="6" w16cid:durableId="228811280">
    <w:abstractNumId w:val="5"/>
  </w:num>
  <w:num w:numId="7" w16cid:durableId="537662601">
    <w:abstractNumId w:val="7"/>
  </w:num>
  <w:num w:numId="8" w16cid:durableId="294726338">
    <w:abstractNumId w:val="18"/>
  </w:num>
  <w:num w:numId="9" w16cid:durableId="1175921204">
    <w:abstractNumId w:val="17"/>
  </w:num>
  <w:num w:numId="10" w16cid:durableId="699163714">
    <w:abstractNumId w:val="0"/>
  </w:num>
  <w:num w:numId="11" w16cid:durableId="1116212906">
    <w:abstractNumId w:val="19"/>
  </w:num>
  <w:num w:numId="12" w16cid:durableId="1127627790">
    <w:abstractNumId w:val="10"/>
  </w:num>
  <w:num w:numId="13" w16cid:durableId="1531796679">
    <w:abstractNumId w:val="6"/>
  </w:num>
  <w:num w:numId="14" w16cid:durableId="505436802">
    <w:abstractNumId w:val="2"/>
  </w:num>
  <w:num w:numId="15" w16cid:durableId="1668358586">
    <w:abstractNumId w:val="3"/>
  </w:num>
  <w:num w:numId="16" w16cid:durableId="631012122">
    <w:abstractNumId w:val="11"/>
  </w:num>
  <w:num w:numId="17" w16cid:durableId="1928994893">
    <w:abstractNumId w:val="12"/>
  </w:num>
  <w:num w:numId="18" w16cid:durableId="2010212781">
    <w:abstractNumId w:val="16"/>
  </w:num>
  <w:num w:numId="19" w16cid:durableId="1599678568">
    <w:abstractNumId w:val="15"/>
  </w:num>
  <w:num w:numId="20" w16cid:durableId="128564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310EF"/>
    <w:rsid w:val="00040D4F"/>
    <w:rsid w:val="00084EAE"/>
    <w:rsid w:val="00091CE6"/>
    <w:rsid w:val="000B7810"/>
    <w:rsid w:val="000C3365"/>
    <w:rsid w:val="00106EE9"/>
    <w:rsid w:val="0012405A"/>
    <w:rsid w:val="0012493A"/>
    <w:rsid w:val="00143ACA"/>
    <w:rsid w:val="00154BA3"/>
    <w:rsid w:val="001973A2"/>
    <w:rsid w:val="001A65D3"/>
    <w:rsid w:val="001C34BC"/>
    <w:rsid w:val="001C710C"/>
    <w:rsid w:val="001C75F2"/>
    <w:rsid w:val="001D2063"/>
    <w:rsid w:val="001D43E9"/>
    <w:rsid w:val="001E7B4B"/>
    <w:rsid w:val="00231FBE"/>
    <w:rsid w:val="00232175"/>
    <w:rsid w:val="00241806"/>
    <w:rsid w:val="0024740E"/>
    <w:rsid w:val="002722DD"/>
    <w:rsid w:val="00295B72"/>
    <w:rsid w:val="002A7406"/>
    <w:rsid w:val="003342BA"/>
    <w:rsid w:val="003453CA"/>
    <w:rsid w:val="003749F1"/>
    <w:rsid w:val="00396D53"/>
    <w:rsid w:val="003A697C"/>
    <w:rsid w:val="003E6C64"/>
    <w:rsid w:val="00416E17"/>
    <w:rsid w:val="00423D14"/>
    <w:rsid w:val="0043078C"/>
    <w:rsid w:val="00435A87"/>
    <w:rsid w:val="00471DB4"/>
    <w:rsid w:val="004A1077"/>
    <w:rsid w:val="004A58C8"/>
    <w:rsid w:val="004B5B05"/>
    <w:rsid w:val="004F234D"/>
    <w:rsid w:val="004F6FAC"/>
    <w:rsid w:val="005053EE"/>
    <w:rsid w:val="00516100"/>
    <w:rsid w:val="00516A8F"/>
    <w:rsid w:val="00540261"/>
    <w:rsid w:val="0054701E"/>
    <w:rsid w:val="005525D5"/>
    <w:rsid w:val="005A389A"/>
    <w:rsid w:val="005B0867"/>
    <w:rsid w:val="005B5531"/>
    <w:rsid w:val="005C427D"/>
    <w:rsid w:val="005D3E43"/>
    <w:rsid w:val="005E231E"/>
    <w:rsid w:val="005F2900"/>
    <w:rsid w:val="005F51CC"/>
    <w:rsid w:val="006238B7"/>
    <w:rsid w:val="0064059E"/>
    <w:rsid w:val="00657009"/>
    <w:rsid w:val="0066481B"/>
    <w:rsid w:val="00674F0B"/>
    <w:rsid w:val="00681C79"/>
    <w:rsid w:val="006B1ADF"/>
    <w:rsid w:val="006E2B82"/>
    <w:rsid w:val="006F0687"/>
    <w:rsid w:val="006F4638"/>
    <w:rsid w:val="006F77A8"/>
    <w:rsid w:val="00700B6A"/>
    <w:rsid w:val="007162AC"/>
    <w:rsid w:val="007610BC"/>
    <w:rsid w:val="00765A4C"/>
    <w:rsid w:val="007714AB"/>
    <w:rsid w:val="00772CB1"/>
    <w:rsid w:val="00781ED6"/>
    <w:rsid w:val="00782453"/>
    <w:rsid w:val="007B0121"/>
    <w:rsid w:val="007D1E76"/>
    <w:rsid w:val="007D4484"/>
    <w:rsid w:val="007E38A2"/>
    <w:rsid w:val="007F699D"/>
    <w:rsid w:val="00806269"/>
    <w:rsid w:val="00837374"/>
    <w:rsid w:val="00852565"/>
    <w:rsid w:val="0086420E"/>
    <w:rsid w:val="0086459F"/>
    <w:rsid w:val="008C3BB8"/>
    <w:rsid w:val="008E076C"/>
    <w:rsid w:val="008E6268"/>
    <w:rsid w:val="0092765C"/>
    <w:rsid w:val="00967DDA"/>
    <w:rsid w:val="009736CB"/>
    <w:rsid w:val="00995882"/>
    <w:rsid w:val="009A70CB"/>
    <w:rsid w:val="009B27E0"/>
    <w:rsid w:val="009F3A65"/>
    <w:rsid w:val="009F7B50"/>
    <w:rsid w:val="00A33DCA"/>
    <w:rsid w:val="00A4610E"/>
    <w:rsid w:val="00A6346D"/>
    <w:rsid w:val="00A730E0"/>
    <w:rsid w:val="00AA2768"/>
    <w:rsid w:val="00AA41E5"/>
    <w:rsid w:val="00AB722B"/>
    <w:rsid w:val="00AE1F6A"/>
    <w:rsid w:val="00AF4375"/>
    <w:rsid w:val="00B073DE"/>
    <w:rsid w:val="00B27F13"/>
    <w:rsid w:val="00B6368B"/>
    <w:rsid w:val="00B64002"/>
    <w:rsid w:val="00B75CF4"/>
    <w:rsid w:val="00BA53FE"/>
    <w:rsid w:val="00BE02EB"/>
    <w:rsid w:val="00BF2402"/>
    <w:rsid w:val="00BF5046"/>
    <w:rsid w:val="00C4250B"/>
    <w:rsid w:val="00C4625D"/>
    <w:rsid w:val="00C50946"/>
    <w:rsid w:val="00C54C12"/>
    <w:rsid w:val="00C93C67"/>
    <w:rsid w:val="00C97E1E"/>
    <w:rsid w:val="00CA30AC"/>
    <w:rsid w:val="00CB0F4E"/>
    <w:rsid w:val="00CB41C4"/>
    <w:rsid w:val="00CC3917"/>
    <w:rsid w:val="00CC692F"/>
    <w:rsid w:val="00CF1316"/>
    <w:rsid w:val="00D13C44"/>
    <w:rsid w:val="00D27BE8"/>
    <w:rsid w:val="00D32331"/>
    <w:rsid w:val="00D40FC2"/>
    <w:rsid w:val="00D47571"/>
    <w:rsid w:val="00D5018E"/>
    <w:rsid w:val="00D546B2"/>
    <w:rsid w:val="00D75307"/>
    <w:rsid w:val="00D91F2F"/>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21D1"/>
    <w:rsid w:val="00FB2659"/>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6835</Words>
  <Characters>37597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2</cp:revision>
  <cp:lastPrinted>2025-01-29T20:05:00Z</cp:lastPrinted>
  <dcterms:created xsi:type="dcterms:W3CDTF">2025-02-25T15:12:00Z</dcterms:created>
  <dcterms:modified xsi:type="dcterms:W3CDTF">2025-02-25T15:12:00Z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