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1A399A" w:rsidRDefault="000B7810" w:rsidP="001A399A">
      <w:pPr>
        <w:tabs>
          <w:tab w:val="left" w:leader="underscore" w:pos="9639"/>
        </w:tabs>
        <w:spacing w:after="0" w:line="240" w:lineRule="auto"/>
        <w:ind w:left="9639" w:hanging="9639"/>
        <w:jc w:val="center"/>
        <w:rPr>
          <w:rFonts w:ascii="Arial" w:hAnsi="Arial" w:cs="Arial"/>
          <w:sz w:val="20"/>
          <w:szCs w:val="20"/>
        </w:rPr>
      </w:pPr>
    </w:p>
    <w:p w14:paraId="507776DB" w14:textId="77777777" w:rsidR="007D1E76" w:rsidRPr="001A399A" w:rsidRDefault="007D1E76" w:rsidP="001A399A">
      <w:pPr>
        <w:tabs>
          <w:tab w:val="left" w:leader="underscore" w:pos="9639"/>
        </w:tabs>
        <w:spacing w:after="0" w:line="240" w:lineRule="auto"/>
        <w:jc w:val="center"/>
        <w:rPr>
          <w:rFonts w:ascii="Arial" w:hAnsi="Arial" w:cs="Arial"/>
          <w:b/>
          <w:sz w:val="20"/>
          <w:szCs w:val="20"/>
        </w:rPr>
      </w:pPr>
      <w:hyperlink r:id="rId11" w:history="1">
        <w:r w:rsidRPr="001A399A">
          <w:rPr>
            <w:rStyle w:val="Hipervnculo"/>
            <w:rFonts w:ascii="Arial" w:hAnsi="Arial" w:cs="Arial"/>
            <w:b/>
            <w:sz w:val="20"/>
            <w:szCs w:val="20"/>
          </w:rPr>
          <w:t>NOTAS DE GESTIÓN ADMINISTRATIVA</w:t>
        </w:r>
      </w:hyperlink>
    </w:p>
    <w:p w14:paraId="1217A01B" w14:textId="40B1FF5C" w:rsidR="007D1E76" w:rsidRPr="001A399A" w:rsidRDefault="00F067C8" w:rsidP="001A399A">
      <w:pPr>
        <w:tabs>
          <w:tab w:val="left" w:leader="underscore" w:pos="9639"/>
        </w:tabs>
        <w:spacing w:after="0" w:line="240" w:lineRule="auto"/>
        <w:jc w:val="center"/>
        <w:rPr>
          <w:rFonts w:ascii="Arial" w:hAnsi="Arial" w:cs="Arial"/>
          <w:sz w:val="20"/>
          <w:szCs w:val="20"/>
        </w:rPr>
      </w:pPr>
      <w:r w:rsidRPr="001A399A">
        <w:rPr>
          <w:rFonts w:ascii="Arial" w:hAnsi="Arial" w:cs="Arial"/>
          <w:sz w:val="20"/>
          <w:szCs w:val="20"/>
        </w:rPr>
        <w:t>06-12-2022</w:t>
      </w:r>
    </w:p>
    <w:p w14:paraId="2F65D88B" w14:textId="77777777" w:rsidR="007D1E76" w:rsidRPr="001A399A" w:rsidRDefault="007D1E76" w:rsidP="001A399A">
      <w:pPr>
        <w:tabs>
          <w:tab w:val="left" w:leader="underscore" w:pos="9639"/>
        </w:tabs>
        <w:spacing w:after="0" w:line="240" w:lineRule="auto"/>
        <w:jc w:val="both"/>
        <w:rPr>
          <w:rFonts w:ascii="Arial" w:hAnsi="Arial" w:cs="Arial"/>
          <w:sz w:val="20"/>
          <w:szCs w:val="20"/>
        </w:rPr>
      </w:pPr>
    </w:p>
    <w:p w14:paraId="08E20968" w14:textId="77777777" w:rsidR="00642FAC" w:rsidRPr="001A399A" w:rsidRDefault="00642FAC" w:rsidP="001A399A">
      <w:pPr>
        <w:tabs>
          <w:tab w:val="left" w:leader="underscore" w:pos="9639"/>
        </w:tabs>
        <w:spacing w:after="0" w:line="240" w:lineRule="auto"/>
        <w:jc w:val="center"/>
        <w:rPr>
          <w:rFonts w:ascii="Arial" w:hAnsi="Arial" w:cs="Arial"/>
          <w:sz w:val="20"/>
          <w:szCs w:val="20"/>
        </w:rPr>
      </w:pPr>
    </w:p>
    <w:p w14:paraId="628F9E4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Los Estados Financieros de los entes públicos, proveen de información financiera a los principales usuarios de la misma, al Congreso y a los ciudadanos.</w:t>
      </w:r>
    </w:p>
    <w:p w14:paraId="3CFFBC44"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3AB886F8"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41E999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4F6B98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370913B"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7838460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De esta manera, se informan y explican las condiciones relacionadas con la información financiera de cada período de gestión; además, de exponer aquellas políticas que podrían afectar la toma de decisiones en períodos posteriores. (</w:t>
      </w:r>
      <w:r w:rsidRPr="001A399A">
        <w:rPr>
          <w:rFonts w:ascii="Arial" w:hAnsi="Arial" w:cs="Arial"/>
          <w:color w:val="2F5496" w:themeColor="accent5" w:themeShade="BF"/>
          <w:sz w:val="20"/>
          <w:szCs w:val="20"/>
        </w:rPr>
        <w:t>DOF 06-12-2022</w:t>
      </w:r>
      <w:r w:rsidRPr="001A399A">
        <w:rPr>
          <w:rFonts w:ascii="Arial" w:hAnsi="Arial" w:cs="Arial"/>
          <w:sz w:val="20"/>
          <w:szCs w:val="20"/>
        </w:rPr>
        <w:t>)</w:t>
      </w:r>
    </w:p>
    <w:p w14:paraId="76BEDFD5"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21E49B5F" w14:textId="77777777" w:rsidR="00642FAC" w:rsidRPr="001A399A" w:rsidRDefault="00642FAC" w:rsidP="001A399A">
      <w:pPr>
        <w:pStyle w:val="Prrafodelista"/>
        <w:tabs>
          <w:tab w:val="left" w:leader="underscore" w:pos="9639"/>
        </w:tabs>
        <w:spacing w:after="0" w:line="240" w:lineRule="auto"/>
        <w:contextualSpacing w:val="0"/>
        <w:jc w:val="both"/>
        <w:rPr>
          <w:rFonts w:ascii="Arial" w:hAnsi="Arial" w:cs="Arial"/>
          <w:sz w:val="20"/>
          <w:szCs w:val="20"/>
        </w:rPr>
      </w:pPr>
    </w:p>
    <w:p w14:paraId="5A2950F8" w14:textId="77777777" w:rsidR="00642FAC" w:rsidRPr="001A399A" w:rsidRDefault="00642FAC" w:rsidP="001A399A">
      <w:pPr>
        <w:pStyle w:val="Prrafodelista"/>
        <w:numPr>
          <w:ilvl w:val="0"/>
          <w:numId w:val="1"/>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Las notas de gestión administrativa deben contener los siguientes puntos:</w:t>
      </w:r>
    </w:p>
    <w:p w14:paraId="2C49C24A"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4B7E9765"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7E14228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lang w:val="es-MX"/>
        </w:rPr>
      </w:sdtEndPr>
      <w:sdtContent>
        <w:p w14:paraId="657E1047" w14:textId="77777777" w:rsidR="00642FAC" w:rsidRPr="001A399A" w:rsidRDefault="00642FAC" w:rsidP="001A399A">
          <w:pPr>
            <w:pStyle w:val="TtuloTDC"/>
            <w:spacing w:before="0" w:line="240" w:lineRule="auto"/>
            <w:jc w:val="both"/>
            <w:rPr>
              <w:rFonts w:ascii="Arial" w:hAnsi="Arial" w:cs="Arial"/>
              <w:sz w:val="20"/>
              <w:szCs w:val="20"/>
              <w:lang w:val="es-ES"/>
            </w:rPr>
          </w:pPr>
          <w:r w:rsidRPr="001A399A">
            <w:rPr>
              <w:rFonts w:ascii="Arial" w:hAnsi="Arial" w:cs="Arial"/>
              <w:sz w:val="20"/>
              <w:szCs w:val="20"/>
              <w:lang w:val="es-ES"/>
            </w:rPr>
            <w:t>Contenido</w:t>
          </w:r>
        </w:p>
        <w:p w14:paraId="30434F48" w14:textId="77777777" w:rsidR="00642FAC" w:rsidRPr="001A399A" w:rsidRDefault="00642FAC" w:rsidP="001A399A">
          <w:pPr>
            <w:spacing w:after="0" w:line="240" w:lineRule="auto"/>
            <w:jc w:val="both"/>
            <w:rPr>
              <w:rFonts w:ascii="Arial" w:hAnsi="Arial" w:cs="Arial"/>
              <w:sz w:val="20"/>
              <w:szCs w:val="20"/>
              <w:lang w:eastAsia="es-MX"/>
            </w:rPr>
          </w:pPr>
        </w:p>
        <w:p w14:paraId="21454EAE" w14:textId="47391048"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r w:rsidRPr="001A399A">
            <w:rPr>
              <w:rFonts w:ascii="Arial" w:hAnsi="Arial" w:cs="Arial"/>
              <w:sz w:val="20"/>
              <w:szCs w:val="20"/>
            </w:rPr>
            <w:fldChar w:fldCharType="begin"/>
          </w:r>
          <w:r w:rsidRPr="001A399A">
            <w:rPr>
              <w:rFonts w:ascii="Arial" w:hAnsi="Arial" w:cs="Arial"/>
              <w:sz w:val="20"/>
              <w:szCs w:val="20"/>
            </w:rPr>
            <w:instrText xml:space="preserve"> TOC \o "1-3" \h \z \u </w:instrText>
          </w:r>
          <w:r w:rsidRPr="001A399A">
            <w:rPr>
              <w:rFonts w:ascii="Arial" w:hAnsi="Arial" w:cs="Arial"/>
              <w:sz w:val="20"/>
              <w:szCs w:val="20"/>
            </w:rPr>
            <w:fldChar w:fldCharType="separate"/>
          </w:r>
          <w:hyperlink w:anchor="_Toc161472866" w:history="1">
            <w:r w:rsidRPr="001A399A">
              <w:rPr>
                <w:rStyle w:val="Hipervnculo"/>
                <w:rFonts w:ascii="Arial" w:hAnsi="Arial" w:cs="Arial"/>
                <w:b/>
                <w:noProof/>
                <w:sz w:val="20"/>
                <w:szCs w:val="20"/>
              </w:rPr>
              <w:t>1. Autorización e Historia:</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_Toc161472866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10</w:t>
            </w:r>
            <w:r w:rsidRPr="001A399A">
              <w:rPr>
                <w:rFonts w:ascii="Arial" w:hAnsi="Arial" w:cs="Arial"/>
                <w:noProof/>
                <w:webHidden/>
                <w:sz w:val="20"/>
                <w:szCs w:val="20"/>
              </w:rPr>
              <w:fldChar w:fldCharType="end"/>
            </w:r>
          </w:hyperlink>
        </w:p>
        <w:p w14:paraId="7AE834A9" w14:textId="07C3E4B0"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67" w:history="1">
            <w:r w:rsidRPr="001A399A">
              <w:rPr>
                <w:rStyle w:val="Hipervnculo"/>
                <w:rFonts w:ascii="Arial" w:hAnsi="Arial" w:cs="Arial"/>
                <w:b/>
                <w:noProof/>
                <w:sz w:val="20"/>
                <w:szCs w:val="20"/>
              </w:rPr>
              <w:t>2. Panorama Económico y Financiero</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_Toc161472867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13</w:t>
            </w:r>
            <w:r w:rsidRPr="001A399A">
              <w:rPr>
                <w:rFonts w:ascii="Arial" w:hAnsi="Arial" w:cs="Arial"/>
                <w:noProof/>
                <w:webHidden/>
                <w:sz w:val="20"/>
                <w:szCs w:val="20"/>
              </w:rPr>
              <w:fldChar w:fldCharType="end"/>
            </w:r>
          </w:hyperlink>
        </w:p>
        <w:p w14:paraId="3939343A" w14:textId="185F8966"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68" w:history="1">
            <w:r w:rsidRPr="001A399A">
              <w:rPr>
                <w:rStyle w:val="Hipervnculo"/>
                <w:rFonts w:ascii="Arial" w:hAnsi="Arial" w:cs="Arial"/>
                <w:b/>
                <w:noProof/>
                <w:sz w:val="20"/>
                <w:szCs w:val="20"/>
              </w:rPr>
              <w:t>3. Organización y Objeto Social:</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_Toc161472868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13</w:t>
            </w:r>
            <w:r w:rsidRPr="001A399A">
              <w:rPr>
                <w:rFonts w:ascii="Arial" w:hAnsi="Arial" w:cs="Arial"/>
                <w:noProof/>
                <w:webHidden/>
                <w:sz w:val="20"/>
                <w:szCs w:val="20"/>
              </w:rPr>
              <w:fldChar w:fldCharType="end"/>
            </w:r>
          </w:hyperlink>
        </w:p>
        <w:p w14:paraId="62956039" w14:textId="0095DC28"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69" w:history="1">
            <w:r w:rsidRPr="001A399A">
              <w:rPr>
                <w:rStyle w:val="Hipervnculo"/>
                <w:rFonts w:ascii="Arial" w:hAnsi="Arial" w:cs="Arial"/>
                <w:b/>
                <w:noProof/>
                <w:sz w:val="20"/>
                <w:szCs w:val="20"/>
              </w:rPr>
              <w:t>4. Bases de Preparación de los Estados Financieros: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_Toc161472869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16</w:t>
            </w:r>
            <w:r w:rsidRPr="001A399A">
              <w:rPr>
                <w:rFonts w:ascii="Arial" w:hAnsi="Arial" w:cs="Arial"/>
                <w:noProof/>
                <w:webHidden/>
                <w:sz w:val="20"/>
                <w:szCs w:val="20"/>
              </w:rPr>
              <w:fldChar w:fldCharType="end"/>
            </w:r>
          </w:hyperlink>
        </w:p>
        <w:p w14:paraId="17994BAB" w14:textId="75E1E2BE"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0" w:history="1">
            <w:r w:rsidRPr="001A399A">
              <w:rPr>
                <w:rStyle w:val="Hipervnculo"/>
                <w:rFonts w:ascii="Arial" w:hAnsi="Arial" w:cs="Arial"/>
                <w:b/>
                <w:noProof/>
                <w:sz w:val="20"/>
                <w:szCs w:val="20"/>
              </w:rPr>
              <w:t>5. Políticas de Contabilidad Significativas: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_Toc161472870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18</w:t>
            </w:r>
            <w:r w:rsidRPr="001A399A">
              <w:rPr>
                <w:rFonts w:ascii="Arial" w:hAnsi="Arial" w:cs="Arial"/>
                <w:noProof/>
                <w:webHidden/>
                <w:sz w:val="20"/>
                <w:szCs w:val="20"/>
              </w:rPr>
              <w:fldChar w:fldCharType="end"/>
            </w:r>
          </w:hyperlink>
        </w:p>
        <w:p w14:paraId="6EF8943E" w14:textId="1208E18B"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1" w:history="1">
            <w:r w:rsidRPr="001A399A">
              <w:rPr>
                <w:rStyle w:val="Hipervnculo"/>
                <w:rFonts w:ascii="Arial" w:hAnsi="Arial" w:cs="Arial"/>
                <w:b/>
                <w:noProof/>
                <w:sz w:val="20"/>
                <w:szCs w:val="20"/>
              </w:rPr>
              <w:t>6. Posición en Moneda Extranjera y Protección por Riesgo Cambiario:</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_Toc161472871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24</w:t>
            </w:r>
            <w:r w:rsidRPr="001A399A">
              <w:rPr>
                <w:rFonts w:ascii="Arial" w:hAnsi="Arial" w:cs="Arial"/>
                <w:noProof/>
                <w:webHidden/>
                <w:sz w:val="20"/>
                <w:szCs w:val="20"/>
              </w:rPr>
              <w:fldChar w:fldCharType="end"/>
            </w:r>
          </w:hyperlink>
        </w:p>
        <w:p w14:paraId="515C0668" w14:textId="0834C27A"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2" w:history="1">
            <w:r w:rsidRPr="001A399A">
              <w:rPr>
                <w:rStyle w:val="Hipervnculo"/>
                <w:rFonts w:ascii="Arial" w:hAnsi="Arial" w:cs="Arial"/>
                <w:b/>
                <w:noProof/>
                <w:sz w:val="20"/>
                <w:szCs w:val="20"/>
              </w:rPr>
              <w:t>7. Reporte Analítico del Activo:</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_Toc161472872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25</w:t>
            </w:r>
            <w:r w:rsidRPr="001A399A">
              <w:rPr>
                <w:rFonts w:ascii="Arial" w:hAnsi="Arial" w:cs="Arial"/>
                <w:noProof/>
                <w:webHidden/>
                <w:sz w:val="20"/>
                <w:szCs w:val="20"/>
              </w:rPr>
              <w:fldChar w:fldCharType="end"/>
            </w:r>
          </w:hyperlink>
        </w:p>
        <w:p w14:paraId="526EB599" w14:textId="2F667B07"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3" w:history="1">
            <w:r w:rsidRPr="001A399A">
              <w:rPr>
                <w:rStyle w:val="Hipervnculo"/>
                <w:rFonts w:ascii="Arial" w:hAnsi="Arial" w:cs="Arial"/>
                <w:b/>
                <w:noProof/>
                <w:sz w:val="20"/>
                <w:szCs w:val="20"/>
              </w:rPr>
              <w:t>8. Fideicomisos, Mandatos y Análogos: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_Toc161472873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27</w:t>
            </w:r>
            <w:r w:rsidRPr="001A399A">
              <w:rPr>
                <w:rFonts w:ascii="Arial" w:hAnsi="Arial" w:cs="Arial"/>
                <w:noProof/>
                <w:webHidden/>
                <w:sz w:val="20"/>
                <w:szCs w:val="20"/>
              </w:rPr>
              <w:fldChar w:fldCharType="end"/>
            </w:r>
          </w:hyperlink>
        </w:p>
        <w:p w14:paraId="7C39850C" w14:textId="2183C574"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4" w:history="1">
            <w:r w:rsidRPr="001A399A">
              <w:rPr>
                <w:rStyle w:val="Hipervnculo"/>
                <w:rFonts w:ascii="Arial" w:hAnsi="Arial" w:cs="Arial"/>
                <w:b/>
                <w:noProof/>
                <w:sz w:val="20"/>
                <w:szCs w:val="20"/>
              </w:rPr>
              <w:t>9. Reporte de la Recaudación:</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_Toc161472874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28</w:t>
            </w:r>
            <w:r w:rsidRPr="001A399A">
              <w:rPr>
                <w:rFonts w:ascii="Arial" w:hAnsi="Arial" w:cs="Arial"/>
                <w:noProof/>
                <w:webHidden/>
                <w:sz w:val="20"/>
                <w:szCs w:val="20"/>
              </w:rPr>
              <w:fldChar w:fldCharType="end"/>
            </w:r>
          </w:hyperlink>
        </w:p>
        <w:p w14:paraId="45B20EBA" w14:textId="01477F5E"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5" w:history="1">
            <w:r w:rsidRPr="001A399A">
              <w:rPr>
                <w:rStyle w:val="Hipervnculo"/>
                <w:rFonts w:ascii="Arial" w:hAnsi="Arial" w:cs="Arial"/>
                <w:b/>
                <w:noProof/>
                <w:sz w:val="20"/>
                <w:szCs w:val="20"/>
              </w:rPr>
              <w:t>10. Información sobre la Deuda y el Reporte Analítico de la Deuda:</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_Toc161472875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28</w:t>
            </w:r>
            <w:r w:rsidRPr="001A399A">
              <w:rPr>
                <w:rFonts w:ascii="Arial" w:hAnsi="Arial" w:cs="Arial"/>
                <w:noProof/>
                <w:webHidden/>
                <w:sz w:val="20"/>
                <w:szCs w:val="20"/>
              </w:rPr>
              <w:fldChar w:fldCharType="end"/>
            </w:r>
          </w:hyperlink>
        </w:p>
        <w:p w14:paraId="5AEBC8AA" w14:textId="7651222D"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6" w:history="1">
            <w:r w:rsidRPr="001A399A">
              <w:rPr>
                <w:rStyle w:val="Hipervnculo"/>
                <w:rFonts w:ascii="Arial" w:hAnsi="Arial" w:cs="Arial"/>
                <w:b/>
                <w:noProof/>
                <w:sz w:val="20"/>
                <w:szCs w:val="20"/>
              </w:rPr>
              <w:t>11. Calificaciones otorgadas: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_Toc161472876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28</w:t>
            </w:r>
            <w:r w:rsidRPr="001A399A">
              <w:rPr>
                <w:rFonts w:ascii="Arial" w:hAnsi="Arial" w:cs="Arial"/>
                <w:noProof/>
                <w:webHidden/>
                <w:sz w:val="20"/>
                <w:szCs w:val="20"/>
              </w:rPr>
              <w:fldChar w:fldCharType="end"/>
            </w:r>
          </w:hyperlink>
        </w:p>
        <w:p w14:paraId="227E0C75" w14:textId="0A792DA0" w:rsidR="00642FAC" w:rsidRPr="001A399A" w:rsidRDefault="00642FAC" w:rsidP="000748A1">
          <w:pPr>
            <w:pStyle w:val="TDC2"/>
            <w:tabs>
              <w:tab w:val="right" w:leader="dot" w:pos="9678"/>
            </w:tabs>
            <w:spacing w:line="240" w:lineRule="auto"/>
            <w:ind w:left="9926" w:hanging="9706"/>
            <w:jc w:val="both"/>
            <w:rPr>
              <w:rFonts w:ascii="Arial" w:eastAsiaTheme="minorEastAsia" w:hAnsi="Arial" w:cs="Arial"/>
              <w:noProof/>
              <w:kern w:val="2"/>
              <w:sz w:val="20"/>
              <w:szCs w:val="20"/>
              <w:lang w:eastAsia="es-MX"/>
              <w14:ligatures w14:val="standardContextual"/>
            </w:rPr>
          </w:pPr>
          <w:hyperlink w:anchor="_Toc161472877" w:history="1">
            <w:r w:rsidRPr="001A399A">
              <w:rPr>
                <w:rStyle w:val="Hipervnculo"/>
                <w:rFonts w:ascii="Arial" w:hAnsi="Arial" w:cs="Arial"/>
                <w:b/>
                <w:noProof/>
                <w:sz w:val="20"/>
                <w:szCs w:val="20"/>
              </w:rPr>
              <w:t>12. Proceso de Mejora:</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_Toc161472877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28</w:t>
            </w:r>
            <w:r w:rsidRPr="001A399A">
              <w:rPr>
                <w:rFonts w:ascii="Arial" w:hAnsi="Arial" w:cs="Arial"/>
                <w:noProof/>
                <w:webHidden/>
                <w:sz w:val="20"/>
                <w:szCs w:val="20"/>
              </w:rPr>
              <w:fldChar w:fldCharType="end"/>
            </w:r>
          </w:hyperlink>
        </w:p>
        <w:p w14:paraId="58B0B128" w14:textId="2C53EA2E"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8" w:history="1">
            <w:r w:rsidRPr="001A399A">
              <w:rPr>
                <w:rStyle w:val="Hipervnculo"/>
                <w:rFonts w:ascii="Arial" w:hAnsi="Arial" w:cs="Arial"/>
                <w:b/>
                <w:noProof/>
                <w:sz w:val="20"/>
                <w:szCs w:val="20"/>
              </w:rPr>
              <w:t>13. Información por Segmentos: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_Toc161472878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29</w:t>
            </w:r>
            <w:r w:rsidRPr="001A399A">
              <w:rPr>
                <w:rFonts w:ascii="Arial" w:hAnsi="Arial" w:cs="Arial"/>
                <w:noProof/>
                <w:webHidden/>
                <w:sz w:val="20"/>
                <w:szCs w:val="20"/>
              </w:rPr>
              <w:fldChar w:fldCharType="end"/>
            </w:r>
          </w:hyperlink>
        </w:p>
        <w:p w14:paraId="0D891E68" w14:textId="323E8B69"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79" w:history="1">
            <w:r w:rsidRPr="001A399A">
              <w:rPr>
                <w:rStyle w:val="Hipervnculo"/>
                <w:rFonts w:ascii="Arial" w:hAnsi="Arial" w:cs="Arial"/>
                <w:b/>
                <w:noProof/>
                <w:sz w:val="20"/>
                <w:szCs w:val="20"/>
              </w:rPr>
              <w:t>14. Eventos Posteriores al Cierre:</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_Toc161472879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29</w:t>
            </w:r>
            <w:r w:rsidRPr="001A399A">
              <w:rPr>
                <w:rFonts w:ascii="Arial" w:hAnsi="Arial" w:cs="Arial"/>
                <w:noProof/>
                <w:webHidden/>
                <w:sz w:val="20"/>
                <w:szCs w:val="20"/>
              </w:rPr>
              <w:fldChar w:fldCharType="end"/>
            </w:r>
          </w:hyperlink>
        </w:p>
        <w:p w14:paraId="60602B36" w14:textId="07083DC0"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80" w:history="1">
            <w:r w:rsidRPr="001A399A">
              <w:rPr>
                <w:rStyle w:val="Hipervnculo"/>
                <w:rFonts w:ascii="Arial" w:hAnsi="Arial" w:cs="Arial"/>
                <w:b/>
                <w:noProof/>
                <w:sz w:val="20"/>
                <w:szCs w:val="20"/>
              </w:rPr>
              <w:t>15. Partes Relacionadas:</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_Toc161472880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30</w:t>
            </w:r>
            <w:r w:rsidRPr="001A399A">
              <w:rPr>
                <w:rFonts w:ascii="Arial" w:hAnsi="Arial" w:cs="Arial"/>
                <w:noProof/>
                <w:webHidden/>
                <w:sz w:val="20"/>
                <w:szCs w:val="20"/>
              </w:rPr>
              <w:fldChar w:fldCharType="end"/>
            </w:r>
          </w:hyperlink>
        </w:p>
        <w:p w14:paraId="64668FA1" w14:textId="3D2A8D6D" w:rsidR="00642FAC" w:rsidRPr="001A399A" w:rsidRDefault="00642FAC" w:rsidP="001A399A">
          <w:pPr>
            <w:pStyle w:val="TDC2"/>
            <w:tabs>
              <w:tab w:val="right" w:leader="dot" w:pos="9678"/>
            </w:tabs>
            <w:spacing w:line="240" w:lineRule="auto"/>
            <w:jc w:val="both"/>
            <w:rPr>
              <w:rFonts w:ascii="Arial" w:eastAsiaTheme="minorEastAsia" w:hAnsi="Arial" w:cs="Arial"/>
              <w:noProof/>
              <w:kern w:val="2"/>
              <w:sz w:val="20"/>
              <w:szCs w:val="20"/>
              <w:lang w:eastAsia="es-MX"/>
              <w14:ligatures w14:val="standardContextual"/>
            </w:rPr>
          </w:pPr>
          <w:hyperlink w:anchor="_Toc161472881" w:history="1">
            <w:r w:rsidRPr="001A399A">
              <w:rPr>
                <w:rStyle w:val="Hipervnculo"/>
                <w:rFonts w:ascii="Arial" w:hAnsi="Arial" w:cs="Arial"/>
                <w:b/>
                <w:noProof/>
                <w:sz w:val="20"/>
                <w:szCs w:val="20"/>
              </w:rPr>
              <w:t>16. Responsabilidad Sobre la Presentación Razonable de la Información Contable:</w:t>
            </w:r>
            <w:r w:rsidRPr="001A399A">
              <w:rPr>
                <w:rFonts w:ascii="Arial" w:hAnsi="Arial" w:cs="Arial"/>
                <w:noProof/>
                <w:webHidden/>
                <w:sz w:val="20"/>
                <w:szCs w:val="20"/>
              </w:rPr>
              <w:tab/>
            </w:r>
            <w:r w:rsidRPr="001A399A">
              <w:rPr>
                <w:rFonts w:ascii="Arial" w:hAnsi="Arial" w:cs="Arial"/>
                <w:noProof/>
                <w:webHidden/>
                <w:sz w:val="20"/>
                <w:szCs w:val="20"/>
              </w:rPr>
              <w:fldChar w:fldCharType="begin"/>
            </w:r>
            <w:r w:rsidRPr="001A399A">
              <w:rPr>
                <w:rFonts w:ascii="Arial" w:hAnsi="Arial" w:cs="Arial"/>
                <w:noProof/>
                <w:webHidden/>
                <w:sz w:val="20"/>
                <w:szCs w:val="20"/>
              </w:rPr>
              <w:instrText xml:space="preserve"> PAGEREF _Toc161472881 \h </w:instrText>
            </w:r>
            <w:r w:rsidRPr="001A399A">
              <w:rPr>
                <w:rFonts w:ascii="Arial" w:hAnsi="Arial" w:cs="Arial"/>
                <w:noProof/>
                <w:webHidden/>
                <w:sz w:val="20"/>
                <w:szCs w:val="20"/>
              </w:rPr>
            </w:r>
            <w:r w:rsidRPr="001A399A">
              <w:rPr>
                <w:rFonts w:ascii="Arial" w:hAnsi="Arial" w:cs="Arial"/>
                <w:noProof/>
                <w:webHidden/>
                <w:sz w:val="20"/>
                <w:szCs w:val="20"/>
              </w:rPr>
              <w:fldChar w:fldCharType="separate"/>
            </w:r>
            <w:r w:rsidR="001A145C">
              <w:rPr>
                <w:rFonts w:ascii="Arial" w:hAnsi="Arial" w:cs="Arial"/>
                <w:noProof/>
                <w:webHidden/>
                <w:sz w:val="20"/>
                <w:szCs w:val="20"/>
              </w:rPr>
              <w:t>30</w:t>
            </w:r>
            <w:r w:rsidRPr="001A399A">
              <w:rPr>
                <w:rFonts w:ascii="Arial" w:hAnsi="Arial" w:cs="Arial"/>
                <w:noProof/>
                <w:webHidden/>
                <w:sz w:val="20"/>
                <w:szCs w:val="20"/>
              </w:rPr>
              <w:fldChar w:fldCharType="end"/>
            </w:r>
          </w:hyperlink>
        </w:p>
        <w:p w14:paraId="4DA10B99"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b/>
              <w:bCs/>
              <w:sz w:val="20"/>
              <w:szCs w:val="20"/>
            </w:rPr>
            <w:fldChar w:fldCharType="end"/>
          </w:r>
        </w:p>
      </w:sdtContent>
    </w:sdt>
    <w:p w14:paraId="707AEACE" w14:textId="77777777" w:rsidR="001A399A" w:rsidRPr="001A399A" w:rsidRDefault="001A399A" w:rsidP="001A399A">
      <w:pPr>
        <w:pStyle w:val="Ttulo2"/>
        <w:spacing w:before="0" w:line="240" w:lineRule="auto"/>
        <w:jc w:val="both"/>
        <w:rPr>
          <w:rFonts w:ascii="Arial" w:hAnsi="Arial" w:cs="Arial"/>
          <w:b/>
          <w:color w:val="auto"/>
          <w:sz w:val="20"/>
          <w:szCs w:val="20"/>
        </w:rPr>
      </w:pPr>
      <w:bookmarkStart w:id="0" w:name="_Toc161472866"/>
    </w:p>
    <w:p w14:paraId="6C28416F" w14:textId="77777777" w:rsidR="001A399A" w:rsidRPr="001A399A" w:rsidRDefault="001A399A" w:rsidP="001A399A">
      <w:pPr>
        <w:pStyle w:val="Ttulo2"/>
        <w:spacing w:before="0" w:line="240" w:lineRule="auto"/>
        <w:jc w:val="both"/>
        <w:rPr>
          <w:rFonts w:ascii="Arial" w:hAnsi="Arial" w:cs="Arial"/>
          <w:b/>
          <w:color w:val="auto"/>
          <w:sz w:val="20"/>
          <w:szCs w:val="20"/>
        </w:rPr>
      </w:pPr>
    </w:p>
    <w:p w14:paraId="24BA9349" w14:textId="77777777" w:rsidR="001A399A" w:rsidRPr="001A399A" w:rsidRDefault="001A399A" w:rsidP="001A399A">
      <w:pPr>
        <w:rPr>
          <w:rFonts w:ascii="Arial" w:hAnsi="Arial" w:cs="Arial"/>
          <w:sz w:val="20"/>
          <w:szCs w:val="20"/>
        </w:rPr>
      </w:pPr>
    </w:p>
    <w:p w14:paraId="38167DC4" w14:textId="77777777" w:rsidR="001A399A" w:rsidRPr="001A399A" w:rsidRDefault="001A399A" w:rsidP="001A399A">
      <w:pPr>
        <w:rPr>
          <w:rFonts w:ascii="Arial" w:hAnsi="Arial" w:cs="Arial"/>
          <w:sz w:val="20"/>
          <w:szCs w:val="20"/>
        </w:rPr>
      </w:pPr>
    </w:p>
    <w:p w14:paraId="7DED8B56" w14:textId="77777777" w:rsidR="001A399A" w:rsidRPr="001A399A" w:rsidRDefault="001A399A" w:rsidP="001A399A">
      <w:pPr>
        <w:pStyle w:val="Ttulo2"/>
        <w:spacing w:before="0" w:line="240" w:lineRule="auto"/>
        <w:jc w:val="both"/>
        <w:rPr>
          <w:rFonts w:ascii="Arial" w:hAnsi="Arial" w:cs="Arial"/>
          <w:b/>
          <w:color w:val="auto"/>
          <w:sz w:val="20"/>
          <w:szCs w:val="20"/>
        </w:rPr>
      </w:pPr>
    </w:p>
    <w:p w14:paraId="3646CCF1" w14:textId="5F634226"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1. Autorización e Historia:</w:t>
      </w:r>
      <w:bookmarkEnd w:id="0"/>
    </w:p>
    <w:p w14:paraId="553103A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187E316B"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54661028"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Universidad de Guanajuato, con 293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cual en 1945, se transforma en Universidad de Guanajuato, instalándose el primer Consejo Universitario el 16 de mayo de ese año.</w:t>
      </w:r>
    </w:p>
    <w:p w14:paraId="6A86BD5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0EEF5140"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4E1AF1F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Universidad de Guanajuato tuvo, en esta etapa, un importante crecimiento en la apertura de una nueva y diversificada oferta académica, consolidando importantes centros e institutos de investigación en todas las áreas del conocimiento, además de establecer políticas de gran alcance en la extensión y difusión cultural. Por otra parte, amplió su presencia a más ciudades del Estado.</w:t>
      </w:r>
    </w:p>
    <w:p w14:paraId="7AC1B3D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2E579A20"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741D763A"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El 11 de mayo de 1994 la LV Legislatura del Congreso del Estado aprobó la autonomía, con lo cual la Universidad de Guanajuato adquirió la capacidad jurídica y la facultad y responsabilidad de gobernarse a sí misma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294D8C94"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00802FF2"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1F16C6D6"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autonomía universitaria propició un crecimiento y desarrollo sin precedente para la Universidad de Guanajuato, consolidando su presencia en diversas regiones el estado y la oferta educativa desde el Nivel Medio Superior hasta el posgrado, con la consecuente expansión de sus servicios educativos de vinculación social y difusión de la cultura.</w:t>
      </w:r>
    </w:p>
    <w:p w14:paraId="47D6B4A4"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5A40607B"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12DCDA90"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reconoció la necesidad de conformar una estructura idónea para sustentar la evolución favorable de la vida académica y la operatividad institucional.</w:t>
      </w:r>
    </w:p>
    <w:p w14:paraId="3DB977C4"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1FE0F41A"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0F346F8D"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Así, la Universidad de Guanajuato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2 de octubre de 2018 y entró en vigor el 1 de enero de 2019, con la finalidad de responder mejor a las necesidades actuales de la institución.</w:t>
      </w:r>
    </w:p>
    <w:p w14:paraId="69A8236D"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0F992F41"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7263F711"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organización institucional multicampus, que entra en vigor en el año 2008, hoy permite que la Universidad de Guanajuato continúe su transformación ascendente, a través del compromiso resuelto y el trabajo denodado de una comunidad de casi 56,000 personas integrantes, de las cuales más de 48 mil pertenecen a la comunidad estudiantil, casi 4 mil a la comunidad docente y más de 3 mil a la comunidad administrativa que se desarrolla en 13 escuelas del Colegio del Nivel Medio Superior, así como 13 divisiones y 54 departamentos de los cuatro campus del subsistema de nivel superior, al igual que en el Campus Digital.</w:t>
      </w:r>
    </w:p>
    <w:p w14:paraId="000A4BA7"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7B1551B0" w14:textId="02B67FE6"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lastRenderedPageBreak/>
        <w:t>La Universidad de Guanajuato tiene presencia en 13 municipios de Guanajuato, a través de sus 75 sedes, en las que se distribuyen 1021 aulas, 472 laboratorios y 85 centros de cómputo; un patrimonio de bienes inmuebles equivalente a una superficie de 390.17 hectáreas.</w:t>
      </w:r>
    </w:p>
    <w:p w14:paraId="56703304"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3135E51D"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09B548CB" w14:textId="29620A6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Desde la reestructura académica de 2008, se han titulado casi 53,000 personas, sólo en el ciclo 2024 a 2025 se titularon más de 5,000 egresados de las 234 oportunidades de formación que ofrecen los 206 programas educativos de nivel medio superior, nivel medio superior terminal, de técnico superior universitario, licenciatura, posgrado, en todas las áreas del conocimiento. El 98.92% de la matrícula de licenciatura está inscrita en programas reconocidos por su calidad, lo que significa que 83 programas educativos de licenciatura de los 85 evaluables, cuentan con un reconocimiento de calidad lo que contribuye a la permanencia de la Universidad de Guanajuato en el Consorcio de Universidades Mexicanas, un espacio común de instituciones de educación superior con programas educativos reconocidos por el Sistema de Evaluación y Acreditación de la Educación Superior. De igual forma, 75 programas de posgrado se encuentran registrados en el Sistema Nacional de Posgrados.</w:t>
      </w:r>
    </w:p>
    <w:p w14:paraId="0AB6462D"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458A12A9"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0DAEE931"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Universidad de Guanajuato tiene 126 cuerpos académicos registrados ante la Secretaría de Educación Pública, 72 consolidados, 31 en consolidación, 23 en Formación. En el contexto nacional, para las 35 Universidades Públicas Estatales se tiene como promedio el registro de 47 cuerpos académicos consolidados encontrándose la Universidad de Guanajuato por arriba de la media.</w:t>
      </w:r>
    </w:p>
    <w:p w14:paraId="0A34C32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0EC400E9"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252FC4E0"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Universidad de Guanajuato en octubre de 2022 se convirtió en la primera institución de educación superior en México en recibir la acreditación institucional por parte de los Comités Interinstitucionales para la Evaluación de la Educación Superior obteniendo el máximo periodo de siete años (2022-2029) por su alta calidad en funciones y objetivos.</w:t>
      </w:r>
    </w:p>
    <w:p w14:paraId="34A09C11"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 </w:t>
      </w:r>
    </w:p>
    <w:p w14:paraId="18BED132"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10901816"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Del profesorado de tiempo completo del Nivel Superior, el 82.9 % cuenta con reconocimiento del Programa para el Desarrollo Profesional Docente, posicionando a la Universidad de Guanajuato en el séptimo lugar nacional entre las Universidades Públicas Estatales. La Universidad de Guanajuato cuenta con 716 integrantes de la planta académica registrados en el Sistema Nacional de Investigadores e Investigadoras y el Sistema de Creadores de Arte. Representan el 54.5 % del total estatal, ubicando a la Universidad de Guanajuato en el 8.º lugar nacional entre Universidades Públicas Estatales y en el 5.º por número de integrantes con nivel II y III.</w:t>
      </w:r>
    </w:p>
    <w:p w14:paraId="02F8CAA7"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312D653B"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1D83272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El proyecto Cultura Universidad de Guanajuato ofreció más de 3 mil actividades artísticas y culturales durante el ciclo 2024-2025, contando con una participación superior a las 2 millones 990 mil personas; la capacidad inventiva de la comunidad universitaria ubica a esta casa de estudios en la cuarta posición (a nivel nacional) dentro de las universidades públicas estatales con mayor número de patentes obtenidas en México durante 2024; y en la décima tercera posición (a nivel nacional) respecto a la producción inventiva de las Instituciones de Educación Superior del país con más títulos de patentes en el 2024 en México; ambas referencias de acuerdo con los datos estadísticos del Instituto Mexicano de la Propiedad Industrial; nuestra Institución cuenta con 327 convenios académicos vigentes, de los cuales 234 son internacionales y 93 nacionales; además, la Universidad de Guanajuato registró 172 proyectos de vinculación con sectores productivo, social y gubernamental.</w:t>
      </w:r>
    </w:p>
    <w:p w14:paraId="4B82161B"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 </w:t>
      </w:r>
    </w:p>
    <w:p w14:paraId="220A106B"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5896DBDB"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El Ecosistema de Vinculación, Innovación, Desarrollo y Aplicación del conocimiento de la Universidad de Guanajuato fue creado oficialmente el 21 de marzo de 2018 como un mecanismo institucional para fortalecer la vinculación universitaria con los sectores público, privado y social. Teniendo como propósito la transformación del conocimiento universitario en impacto social, sus líneas de acción incluyen la aplicación práctica del conocimiento, el impulso a la innovación y al emprendimiento, la difusión y la transferencia de conocimiento, la protección de la propiedad intelectual, la educación continua y más recientemente el Servicio Social (Universitario y Profesional). De esta forma, la Universidad Guanajuato articula la generación de </w:t>
      </w:r>
      <w:r w:rsidRPr="001A399A">
        <w:rPr>
          <w:rFonts w:ascii="Arial" w:hAnsi="Arial" w:cs="Arial"/>
          <w:sz w:val="20"/>
          <w:szCs w:val="20"/>
        </w:rPr>
        <w:lastRenderedPageBreak/>
        <w:t>soluciones a problemáticas sociales y productivas, contribuyendo a la mejora de su entorno y al desarrollo regional, consolidando su posicionamiento como una casa de estudios comprometida con la innovación, la responsabilidad social y el desarrollo sostenible, alineando su actuar con políticas públicas que apoyan la innovación, el emprendimiento y el desarrollo de talento.</w:t>
      </w:r>
    </w:p>
    <w:p w14:paraId="53DD9953"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2E7D366E"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149DD395"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El establecimiento del Sistema de Educación Digital de la Universidad de Guanajuato tiene como antecedente directo la creación en 2018 del Sistema Universitario de Multimodalidad Educativa, estructura que se enfocó en consolidar la modalidad educativa semipresencial, a distancia en línea e impulsar la aplicación de las tecnologías de la información y de la comunicación en el desarrollo de los programas educativos ofertados de manera presencial. Posteriormente, con el impulso de la coyuntura de 2020, su objetivo se consolidó bajo el Sistema de Educación Digital de la Universidad de Guanajuato para lograr un alcance mayor en la innovación educativa digital dentro de la institución. </w:t>
      </w:r>
    </w:p>
    <w:p w14:paraId="05CAC8C2"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5143E440"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4F8474D8"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Este logro responde a compromisos fundamentales, como la ampliación de la cobertura educativa, la adaptación del proceso de enseñanza-aprendizaje y la flexibilización de los programas académicos. Asimismo, evidencia la responsabilidad institucional frente a los cambios sociales y tecnológicos, y reconoce la importancia de integrar de manera estratégica las Tecnologías de la Información, Comunicación, Conocimiento y Aprendizaje Digital en las funciones sustantivas de docencia, investigación, extensión y vinculación. Actualmente, el Nodo Universitario, el Campus Digital y la plataforma de educación continua constituyen las principales herramientas para alcanzar este propósito.</w:t>
      </w:r>
    </w:p>
    <w:p w14:paraId="27836F6B"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52993E44"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78561364"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En recientes años se creó el Ecosistema para la Cultura de Paz, Igualdad de Género y Derechos Humanos de la Universidad de Guanajuato, el cual es un modelo institucional articulador de políticas, programas y unidades universitarias orientadas a la prevención, atención y erradicación de las violencias, así como a la promoción de los derechos humanos y la igualdad de género. Integrándose por instancias universitarias como el Programa Institucional de Igualdad de Género, la Defensoría de los Derechos Humanos en el Entorno Universitario y la Unidad de Mediación y Conciliación, este ecosistema se apoya en las políticas universitarias en materia de género y no discriminación, representando un mecanismo para garantizar la denuncia y la atención de las violencias, principalmente la de género, así como desarrollar acciones formativas y de sensibilización, dirigidas a la comunidad universitaria, en materia de igualdad, derechos humanos y/o cultura de paz. </w:t>
      </w:r>
    </w:p>
    <w:p w14:paraId="1D8CB0BD"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1932D406"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4DFCA4D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También es el medio institucional para promover una cultura institucional de paz basada en el diálogo, la mediación, la justicia restaurativa y la inclusión, garantizando el respeto y la protección de los derechos humanos del estudiantado, de la plantilla docente y del cuerpo administrativo. Asimismo, esta área universitaria posibilita la suma de esfuerzos con instancias gubernamentales, redes nacionales e internacionales y entidades especializadas en las materias para atender la responsabilidad social universitaria en su ejercicio como agente de transformación cultural. </w:t>
      </w:r>
    </w:p>
    <w:p w14:paraId="704CFB49"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7400CED4"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54511348"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La Universidad de Guanajuato, comprometida con la transformación del sistema educativo y reconociendo la importancia de la tendencia del aprendizaje a lo largo de la vida, se alinea con el Modelo Estatal de Microcredenciales del Estado de Guanajuato para, con el respaldo académico correspondiente, fortalecer la educación digital y multimodal ofreciendo nuevas herramientas de formación flexible que posibilite a todas las personas su certificación en competencias específicas adquiridas en procesos formativos breves o mediante experiencias previas. </w:t>
      </w:r>
    </w:p>
    <w:p w14:paraId="455DA36C"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7D06D3D5" w14:textId="77777777" w:rsidR="001A399A" w:rsidRDefault="001A399A" w:rsidP="001A399A">
      <w:pPr>
        <w:shd w:val="clear" w:color="auto" w:fill="FFFFFF"/>
        <w:spacing w:after="0" w:line="240" w:lineRule="auto"/>
        <w:jc w:val="both"/>
        <w:textAlignment w:val="baseline"/>
        <w:rPr>
          <w:rFonts w:ascii="Arial" w:hAnsi="Arial" w:cs="Arial"/>
          <w:sz w:val="20"/>
          <w:szCs w:val="20"/>
        </w:rPr>
      </w:pPr>
    </w:p>
    <w:p w14:paraId="68F1A75B" w14:textId="77777777" w:rsidR="00BB5918" w:rsidRPr="00BB5918" w:rsidRDefault="00BB5918" w:rsidP="00BB5918">
      <w:pPr>
        <w:jc w:val="right"/>
        <w:rPr>
          <w:rFonts w:ascii="Arial" w:hAnsi="Arial" w:cs="Arial"/>
          <w:sz w:val="20"/>
          <w:szCs w:val="20"/>
        </w:rPr>
      </w:pPr>
    </w:p>
    <w:p w14:paraId="34534026"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 xml:space="preserve">A su vez, esta nueva instrumentación mejora la condición de empleabilidad, tanto de los egresados de la institución como de cualquier otra persona interesada en complementar su formación profesional, tradicional </w:t>
      </w:r>
      <w:r w:rsidRPr="001A399A">
        <w:rPr>
          <w:rFonts w:ascii="Arial" w:hAnsi="Arial" w:cs="Arial"/>
          <w:sz w:val="20"/>
          <w:szCs w:val="20"/>
        </w:rPr>
        <w:lastRenderedPageBreak/>
        <w:t xml:space="preserve">y específica; lo anterior al avalarles los conocimientos y el manejo de las habilidades demandadas en el mercado laboral actual, destacando el liderazgo, la ciencia de datos, la inteligencia artificial, la gestión de proyectos, la interculturalidad, los derechos humanos, la igualdad de género y la cultura de paz. </w:t>
      </w:r>
    </w:p>
    <w:p w14:paraId="78D0CA71"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431DB678"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7CF34CAE"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En enero de 2026, la Universidad de Guanajuato formalizó el lanzamiento de las “Microcredenciales UG”, ofreciendo en su portal institucional las 10 microcredenciales siguientes: Gestión de Proyectos; Introducción a la Interculturalidad; Habilidades Clave para tu Primer Empleo; Destrezas de Gestión y Liderazgo; Derechos Humanos, Género y Cultura de Paz; Bases Prácticas para la Educación Digital; Inteligencia Artificial para la Docencia; Introducción a Python para Ciencia de Datos; Recurtido, Teñido y Engrase de Cueros, y; Diseño y Aplicación de Estrategias Digitales en Entornos Educativos.</w:t>
      </w:r>
    </w:p>
    <w:p w14:paraId="1CD1A454"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753ED3E1"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3199DA65"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r w:rsidRPr="001A399A">
        <w:rPr>
          <w:rFonts w:ascii="Arial" w:hAnsi="Arial" w:cs="Arial"/>
          <w:sz w:val="20"/>
          <w:szCs w:val="20"/>
        </w:rPr>
        <w:t>La Universidad de Guanajuato, comprometida con la contribución a los Objetivos del Desarrollo Sostenibles, establecidos en la Agenda 2030 adoptada por la Organización de las Naciones Unidas, implementó una estrategia transversal de sustentabilidad, integrada a sus políticas institucionales, que hoy genera resultados medibles y reconocidos, particularmente los objetivos 6 (agua limpia), 7 (energía sostenible), 12 (consumo responsable), 13 (acción por el clima) y 17 (alianzas para lograr objetivos), entre otros.</w:t>
      </w:r>
    </w:p>
    <w:p w14:paraId="765C3126" w14:textId="77777777" w:rsidR="00642FAC" w:rsidRPr="001A399A" w:rsidRDefault="00642FAC" w:rsidP="001A399A">
      <w:pPr>
        <w:shd w:val="clear" w:color="auto" w:fill="FFFFFF"/>
        <w:spacing w:after="0" w:line="240" w:lineRule="auto"/>
        <w:jc w:val="both"/>
        <w:textAlignment w:val="baseline"/>
        <w:rPr>
          <w:rFonts w:ascii="Arial" w:hAnsi="Arial" w:cs="Arial"/>
          <w:sz w:val="20"/>
          <w:szCs w:val="20"/>
        </w:rPr>
      </w:pPr>
    </w:p>
    <w:p w14:paraId="47E3EFEC" w14:textId="77777777" w:rsidR="001A399A" w:rsidRPr="001A399A" w:rsidRDefault="001A399A" w:rsidP="001A399A">
      <w:pPr>
        <w:shd w:val="clear" w:color="auto" w:fill="FFFFFF"/>
        <w:spacing w:after="0" w:line="240" w:lineRule="auto"/>
        <w:jc w:val="both"/>
        <w:textAlignment w:val="baseline"/>
        <w:rPr>
          <w:rFonts w:ascii="Arial" w:hAnsi="Arial" w:cs="Arial"/>
          <w:sz w:val="20"/>
          <w:szCs w:val="20"/>
        </w:rPr>
      </w:pPr>
    </w:p>
    <w:p w14:paraId="49D6848D"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1" w:name="_Toc161472867"/>
      <w:r w:rsidRPr="001A399A">
        <w:rPr>
          <w:rFonts w:ascii="Arial" w:hAnsi="Arial" w:cs="Arial"/>
          <w:b/>
          <w:color w:val="auto"/>
          <w:sz w:val="20"/>
          <w:szCs w:val="20"/>
        </w:rPr>
        <w:t>2. Panorama Económico y Financiero</w:t>
      </w:r>
      <w:bookmarkEnd w:id="1"/>
    </w:p>
    <w:p w14:paraId="45A7F7E7" w14:textId="77777777" w:rsidR="00642FAC" w:rsidRPr="001A399A" w:rsidRDefault="00642FAC" w:rsidP="001A399A">
      <w:pPr>
        <w:pStyle w:val="NormalWeb"/>
        <w:shd w:val="clear" w:color="auto" w:fill="FFFFFF"/>
        <w:spacing w:before="0" w:beforeAutospacing="0" w:after="0" w:afterAutospacing="0"/>
        <w:jc w:val="both"/>
        <w:rPr>
          <w:rFonts w:ascii="Arial" w:eastAsia="Calibri" w:hAnsi="Arial" w:cs="Arial"/>
          <w:sz w:val="20"/>
          <w:szCs w:val="20"/>
          <w:lang w:eastAsia="en-US"/>
        </w:rPr>
      </w:pPr>
      <w:bookmarkStart w:id="2" w:name="_Toc161472868"/>
    </w:p>
    <w:p w14:paraId="0392DF8A" w14:textId="26B13893" w:rsidR="00642FAC" w:rsidRPr="003B21C9" w:rsidRDefault="00642FAC" w:rsidP="003B21C9">
      <w:pPr>
        <w:pStyle w:val="NormalWeb"/>
        <w:shd w:val="clear" w:color="auto" w:fill="FFFFFF"/>
        <w:spacing w:before="0" w:beforeAutospacing="0" w:after="0" w:afterAutospacing="0"/>
        <w:jc w:val="both"/>
        <w:rPr>
          <w:rFonts w:ascii="Arial" w:eastAsia="Calibri" w:hAnsi="Arial" w:cs="Arial"/>
          <w:sz w:val="20"/>
          <w:szCs w:val="20"/>
          <w:lang w:eastAsia="en-US"/>
        </w:rPr>
      </w:pPr>
      <w:r w:rsidRPr="001A399A">
        <w:rPr>
          <w:rFonts w:ascii="Arial" w:eastAsia="Calibri" w:hAnsi="Arial" w:cs="Arial"/>
          <w:sz w:val="20"/>
          <w:szCs w:val="20"/>
          <w:lang w:eastAsia="en-US"/>
        </w:rPr>
        <w:t>La Universidad de Guanajuato obtiene sus recursos financieros principalmente de las siguientes fuentes de financiamiento:</w:t>
      </w:r>
    </w:p>
    <w:p w14:paraId="106D5890" w14:textId="77777777" w:rsidR="001A399A" w:rsidRPr="001A399A" w:rsidRDefault="001A399A" w:rsidP="001A399A">
      <w:pPr>
        <w:pStyle w:val="NormalWeb"/>
        <w:shd w:val="clear" w:color="auto" w:fill="FFFFFF"/>
        <w:tabs>
          <w:tab w:val="left" w:pos="993"/>
          <w:tab w:val="left" w:pos="1418"/>
        </w:tabs>
        <w:spacing w:before="0" w:beforeAutospacing="0" w:after="0" w:afterAutospacing="0"/>
        <w:jc w:val="both"/>
        <w:rPr>
          <w:rFonts w:ascii="Arial" w:hAnsi="Arial" w:cs="Arial"/>
          <w:sz w:val="20"/>
          <w:szCs w:val="20"/>
        </w:rPr>
      </w:pPr>
    </w:p>
    <w:p w14:paraId="34965ED7" w14:textId="476DEF09" w:rsidR="00642FAC" w:rsidRDefault="00642FAC" w:rsidP="001A399A">
      <w:pPr>
        <w:pStyle w:val="Prrafodelista"/>
        <w:numPr>
          <w:ilvl w:val="0"/>
          <w:numId w:val="34"/>
        </w:numPr>
        <w:shd w:val="clear" w:color="auto" w:fill="FFFFFF"/>
        <w:tabs>
          <w:tab w:val="left" w:pos="993"/>
          <w:tab w:val="left" w:pos="1418"/>
        </w:tabs>
        <w:spacing w:after="0" w:line="240" w:lineRule="auto"/>
        <w:jc w:val="both"/>
        <w:rPr>
          <w:rFonts w:ascii="Arial" w:hAnsi="Arial" w:cs="Arial"/>
          <w:sz w:val="20"/>
          <w:szCs w:val="20"/>
        </w:rPr>
      </w:pPr>
      <w:r w:rsidRPr="001A399A">
        <w:rPr>
          <w:rFonts w:ascii="Arial" w:hAnsi="Arial"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07C1304E" w14:textId="77777777" w:rsidR="00642FAC" w:rsidRPr="001A399A" w:rsidRDefault="00642FAC" w:rsidP="003B21C9">
      <w:pPr>
        <w:shd w:val="clear" w:color="auto" w:fill="FFFFFF"/>
        <w:tabs>
          <w:tab w:val="left" w:pos="993"/>
          <w:tab w:val="left" w:pos="1418"/>
        </w:tabs>
        <w:spacing w:after="0" w:line="240" w:lineRule="auto"/>
        <w:jc w:val="both"/>
        <w:rPr>
          <w:rFonts w:ascii="Arial" w:hAnsi="Arial" w:cs="Arial"/>
          <w:sz w:val="20"/>
          <w:szCs w:val="20"/>
        </w:rPr>
      </w:pPr>
    </w:p>
    <w:p w14:paraId="1966DDC8" w14:textId="77777777" w:rsidR="00642FAC" w:rsidRPr="001A399A" w:rsidRDefault="00642FAC" w:rsidP="001A399A">
      <w:pPr>
        <w:numPr>
          <w:ilvl w:val="0"/>
          <w:numId w:val="9"/>
        </w:numPr>
        <w:shd w:val="clear" w:color="auto" w:fill="FFFFFF"/>
        <w:tabs>
          <w:tab w:val="left" w:pos="993"/>
          <w:tab w:val="left" w:pos="1418"/>
        </w:tabs>
        <w:spacing w:after="0" w:line="240" w:lineRule="auto"/>
        <w:ind w:left="1789"/>
        <w:jc w:val="both"/>
        <w:rPr>
          <w:rFonts w:ascii="Arial" w:hAnsi="Arial" w:cs="Arial"/>
          <w:sz w:val="20"/>
          <w:szCs w:val="20"/>
        </w:rPr>
      </w:pPr>
      <w:r w:rsidRPr="001A399A">
        <w:rPr>
          <w:rFonts w:ascii="Arial" w:hAnsi="Arial" w:cs="Arial"/>
          <w:sz w:val="20"/>
          <w:szCs w:val="20"/>
        </w:rPr>
        <w:t>Subsidio Ordinario: Constituido por aportaciones ordinarias de los gobiernos federal y estatal, destinadas a la operación diaria de la Universidad.</w:t>
      </w:r>
    </w:p>
    <w:p w14:paraId="1A56F309" w14:textId="77777777" w:rsidR="00642FAC" w:rsidRPr="001A399A" w:rsidRDefault="00642FAC" w:rsidP="001A399A">
      <w:pPr>
        <w:numPr>
          <w:ilvl w:val="0"/>
          <w:numId w:val="9"/>
        </w:numPr>
        <w:shd w:val="clear" w:color="auto" w:fill="FFFFFF"/>
        <w:tabs>
          <w:tab w:val="left" w:pos="993"/>
          <w:tab w:val="left" w:pos="1418"/>
        </w:tabs>
        <w:spacing w:after="0" w:line="240" w:lineRule="auto"/>
        <w:ind w:left="1789"/>
        <w:jc w:val="both"/>
        <w:rPr>
          <w:rFonts w:ascii="Arial" w:hAnsi="Arial" w:cs="Arial"/>
          <w:sz w:val="20"/>
          <w:szCs w:val="20"/>
        </w:rPr>
      </w:pPr>
      <w:r w:rsidRPr="001A399A">
        <w:rPr>
          <w:rFonts w:ascii="Arial" w:hAnsi="Arial"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D7907DE" w14:textId="408A624C" w:rsidR="001A399A" w:rsidRPr="003B21C9" w:rsidRDefault="00642FAC" w:rsidP="003B21C9">
      <w:pPr>
        <w:numPr>
          <w:ilvl w:val="0"/>
          <w:numId w:val="9"/>
        </w:numPr>
        <w:shd w:val="clear" w:color="auto" w:fill="FFFFFF"/>
        <w:tabs>
          <w:tab w:val="left" w:pos="993"/>
          <w:tab w:val="left" w:pos="1418"/>
        </w:tabs>
        <w:spacing w:after="0" w:line="240" w:lineRule="auto"/>
        <w:ind w:left="1789"/>
        <w:jc w:val="both"/>
        <w:rPr>
          <w:rFonts w:ascii="Arial" w:hAnsi="Arial" w:cs="Arial"/>
          <w:sz w:val="20"/>
          <w:szCs w:val="20"/>
        </w:rPr>
      </w:pPr>
      <w:r w:rsidRPr="001A399A">
        <w:rPr>
          <w:rFonts w:ascii="Arial" w:hAnsi="Arial" w:cs="Arial"/>
          <w:sz w:val="20"/>
          <w:szCs w:val="20"/>
        </w:rPr>
        <w:t>Rendimientos Financieros de Subsidios: Se reflejan en este apartado, los rendimientos financieros de las cuentas bancarias específicas de los subsidios federales y estatales, tanto ordinarios como extraordinarios.</w:t>
      </w:r>
    </w:p>
    <w:p w14:paraId="35BF89A2" w14:textId="77777777" w:rsidR="00642FAC" w:rsidRPr="001A399A" w:rsidRDefault="00642FAC" w:rsidP="001A399A">
      <w:pPr>
        <w:pStyle w:val="NormalWeb"/>
        <w:shd w:val="clear" w:color="auto" w:fill="FFFFFF"/>
        <w:tabs>
          <w:tab w:val="left" w:pos="993"/>
          <w:tab w:val="left" w:pos="1418"/>
        </w:tabs>
        <w:spacing w:before="0" w:beforeAutospacing="0" w:after="0" w:afterAutospacing="0"/>
        <w:jc w:val="both"/>
        <w:rPr>
          <w:rFonts w:ascii="Arial" w:eastAsia="Calibri" w:hAnsi="Arial" w:cs="Arial"/>
          <w:sz w:val="20"/>
          <w:szCs w:val="20"/>
          <w:lang w:eastAsia="en-US"/>
        </w:rPr>
      </w:pPr>
    </w:p>
    <w:p w14:paraId="100FCF97" w14:textId="39F745FA" w:rsidR="00642FAC" w:rsidRPr="001A399A" w:rsidRDefault="00642FAC" w:rsidP="001A399A">
      <w:pPr>
        <w:pStyle w:val="Prrafodelista"/>
        <w:numPr>
          <w:ilvl w:val="0"/>
          <w:numId w:val="34"/>
        </w:numPr>
        <w:shd w:val="clear" w:color="auto" w:fill="FFFFFF"/>
        <w:tabs>
          <w:tab w:val="left" w:pos="993"/>
          <w:tab w:val="left" w:pos="1418"/>
        </w:tabs>
        <w:spacing w:after="0" w:line="240" w:lineRule="auto"/>
        <w:jc w:val="both"/>
        <w:rPr>
          <w:rFonts w:ascii="Arial" w:hAnsi="Arial" w:cs="Arial"/>
          <w:sz w:val="20"/>
          <w:szCs w:val="20"/>
        </w:rPr>
      </w:pPr>
      <w:r w:rsidRPr="001A399A">
        <w:rPr>
          <w:rFonts w:ascii="Arial" w:hAnsi="Arial" w:cs="Arial"/>
          <w:sz w:val="20"/>
          <w:szCs w:val="20"/>
        </w:rPr>
        <w:t>Ingresos generados por la institución. - Los ingresos generados por la Universidad de Guanajuato, se clasifican en:</w:t>
      </w:r>
    </w:p>
    <w:p w14:paraId="499B8F20" w14:textId="77777777" w:rsidR="00642FAC" w:rsidRPr="001A399A" w:rsidRDefault="00642FAC" w:rsidP="001A399A">
      <w:pPr>
        <w:pStyle w:val="NormalWeb"/>
        <w:shd w:val="clear" w:color="auto" w:fill="FFFFFF"/>
        <w:tabs>
          <w:tab w:val="left" w:pos="993"/>
          <w:tab w:val="left" w:pos="1418"/>
        </w:tabs>
        <w:spacing w:before="0" w:beforeAutospacing="0" w:after="0" w:afterAutospacing="0"/>
        <w:jc w:val="both"/>
        <w:rPr>
          <w:rFonts w:ascii="Arial" w:eastAsia="Calibri" w:hAnsi="Arial" w:cs="Arial"/>
          <w:sz w:val="20"/>
          <w:szCs w:val="20"/>
          <w:lang w:eastAsia="en-US"/>
        </w:rPr>
      </w:pPr>
    </w:p>
    <w:p w14:paraId="6FCE8C19" w14:textId="77777777" w:rsidR="00642FAC" w:rsidRPr="001A399A" w:rsidRDefault="00642FAC" w:rsidP="001A399A">
      <w:pPr>
        <w:numPr>
          <w:ilvl w:val="0"/>
          <w:numId w:val="11"/>
        </w:numPr>
        <w:shd w:val="clear" w:color="auto" w:fill="FFFFFF"/>
        <w:tabs>
          <w:tab w:val="left" w:pos="993"/>
          <w:tab w:val="left" w:pos="1418"/>
        </w:tabs>
        <w:spacing w:after="0" w:line="240" w:lineRule="auto"/>
        <w:ind w:left="1865"/>
        <w:jc w:val="both"/>
        <w:rPr>
          <w:rFonts w:ascii="Arial" w:hAnsi="Arial" w:cs="Arial"/>
          <w:sz w:val="20"/>
          <w:szCs w:val="20"/>
        </w:rPr>
      </w:pPr>
      <w:r w:rsidRPr="001A399A">
        <w:rPr>
          <w:rFonts w:ascii="Arial" w:hAnsi="Arial"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2600DD6D" w14:textId="15553668" w:rsidR="00642FAC" w:rsidRDefault="00642FAC" w:rsidP="001A399A">
      <w:pPr>
        <w:numPr>
          <w:ilvl w:val="0"/>
          <w:numId w:val="11"/>
        </w:numPr>
        <w:shd w:val="clear" w:color="auto" w:fill="FFFFFF"/>
        <w:tabs>
          <w:tab w:val="left" w:pos="993"/>
          <w:tab w:val="left" w:pos="1418"/>
        </w:tabs>
        <w:spacing w:after="0" w:line="240" w:lineRule="auto"/>
        <w:ind w:left="1865"/>
        <w:jc w:val="both"/>
        <w:rPr>
          <w:rFonts w:ascii="Arial" w:hAnsi="Arial" w:cs="Arial"/>
          <w:sz w:val="20"/>
          <w:szCs w:val="20"/>
        </w:rPr>
      </w:pPr>
      <w:r w:rsidRPr="001A399A">
        <w:rPr>
          <w:rFonts w:ascii="Arial" w:hAnsi="Arial"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3CC1F859" w14:textId="77777777" w:rsidR="001A399A" w:rsidRDefault="001A399A" w:rsidP="001A399A">
      <w:pPr>
        <w:shd w:val="clear" w:color="auto" w:fill="FFFFFF"/>
        <w:tabs>
          <w:tab w:val="left" w:pos="993"/>
          <w:tab w:val="left" w:pos="1418"/>
        </w:tabs>
        <w:spacing w:after="0" w:line="240" w:lineRule="auto"/>
        <w:ind w:left="1865"/>
        <w:jc w:val="both"/>
        <w:rPr>
          <w:rFonts w:ascii="Arial" w:hAnsi="Arial" w:cs="Arial"/>
          <w:sz w:val="20"/>
          <w:szCs w:val="20"/>
        </w:rPr>
      </w:pPr>
    </w:p>
    <w:p w14:paraId="44DE8B64" w14:textId="77777777" w:rsidR="001A399A" w:rsidRPr="001A399A" w:rsidRDefault="001A399A" w:rsidP="003B21C9">
      <w:pPr>
        <w:shd w:val="clear" w:color="auto" w:fill="FFFFFF"/>
        <w:tabs>
          <w:tab w:val="left" w:pos="993"/>
          <w:tab w:val="left" w:pos="1418"/>
        </w:tabs>
        <w:spacing w:after="0" w:line="240" w:lineRule="auto"/>
        <w:jc w:val="both"/>
        <w:rPr>
          <w:rFonts w:ascii="Arial" w:hAnsi="Arial" w:cs="Arial"/>
          <w:sz w:val="20"/>
          <w:szCs w:val="20"/>
        </w:rPr>
      </w:pPr>
    </w:p>
    <w:p w14:paraId="0A3B5C58" w14:textId="4EDCD285" w:rsidR="00642FAC" w:rsidRPr="001A399A" w:rsidRDefault="00642FAC" w:rsidP="001A399A">
      <w:pPr>
        <w:pStyle w:val="Prrafodelista"/>
        <w:numPr>
          <w:ilvl w:val="0"/>
          <w:numId w:val="34"/>
        </w:numPr>
        <w:shd w:val="clear" w:color="auto" w:fill="FFFFFF"/>
        <w:tabs>
          <w:tab w:val="left" w:pos="993"/>
          <w:tab w:val="left" w:pos="1418"/>
        </w:tabs>
        <w:spacing w:after="0" w:line="240" w:lineRule="auto"/>
        <w:jc w:val="both"/>
        <w:rPr>
          <w:rFonts w:ascii="Arial" w:hAnsi="Arial" w:cs="Arial"/>
          <w:sz w:val="20"/>
          <w:szCs w:val="20"/>
        </w:rPr>
      </w:pPr>
      <w:r w:rsidRPr="001A399A">
        <w:rPr>
          <w:rFonts w:ascii="Arial" w:hAnsi="Arial" w:cs="Arial"/>
          <w:sz w:val="20"/>
          <w:szCs w:val="20"/>
        </w:rPr>
        <w:t>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del Secretaría de Ciencia, Humanidades, Tecnología e Innovación (SECIHTI), Instituto de Innovación, Ciencia y Emprendimiento para la Competitividad para el Estado de Guanajuato (IDEA Guanajuato) y otras dependencias federales o estatales, para la realización de proyectos, eventos y otras actividades en el marco de los respectivos convenios.</w:t>
      </w:r>
    </w:p>
    <w:p w14:paraId="225242DC" w14:textId="77777777" w:rsidR="00642FAC" w:rsidRPr="001A399A" w:rsidRDefault="00642FAC" w:rsidP="001A399A">
      <w:pPr>
        <w:pStyle w:val="NormalWeb"/>
        <w:shd w:val="clear" w:color="auto" w:fill="FFFFFF"/>
        <w:spacing w:before="0" w:beforeAutospacing="0" w:after="0" w:afterAutospacing="0"/>
        <w:jc w:val="both"/>
        <w:rPr>
          <w:rFonts w:ascii="Arial" w:eastAsia="Calibri" w:hAnsi="Arial" w:cs="Arial"/>
          <w:sz w:val="20"/>
          <w:szCs w:val="20"/>
          <w:lang w:eastAsia="en-US"/>
        </w:rPr>
      </w:pPr>
    </w:p>
    <w:p w14:paraId="4AD830A3" w14:textId="77777777" w:rsidR="001A399A" w:rsidRPr="001A399A" w:rsidRDefault="001A399A" w:rsidP="001A399A">
      <w:pPr>
        <w:pStyle w:val="NormalWeb"/>
        <w:shd w:val="clear" w:color="auto" w:fill="FFFFFF"/>
        <w:spacing w:before="0" w:beforeAutospacing="0" w:after="0" w:afterAutospacing="0"/>
        <w:jc w:val="both"/>
        <w:rPr>
          <w:rFonts w:ascii="Arial" w:eastAsia="Calibri" w:hAnsi="Arial" w:cs="Arial"/>
          <w:sz w:val="20"/>
          <w:szCs w:val="20"/>
          <w:lang w:eastAsia="en-US"/>
        </w:rPr>
      </w:pPr>
    </w:p>
    <w:p w14:paraId="48DBAFD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F499C0" w14:textId="77777777" w:rsidR="00642FAC" w:rsidRPr="001A399A" w:rsidRDefault="00642FAC" w:rsidP="001A399A">
      <w:pPr>
        <w:spacing w:after="0" w:line="240" w:lineRule="auto"/>
        <w:rPr>
          <w:rFonts w:ascii="Arial" w:hAnsi="Arial" w:cs="Arial"/>
          <w:sz w:val="20"/>
          <w:szCs w:val="20"/>
        </w:rPr>
      </w:pPr>
    </w:p>
    <w:p w14:paraId="2EC76BF7" w14:textId="77777777" w:rsidR="001A399A" w:rsidRPr="001A399A" w:rsidRDefault="001A399A" w:rsidP="001A399A">
      <w:pPr>
        <w:spacing w:after="0" w:line="240" w:lineRule="auto"/>
        <w:rPr>
          <w:rFonts w:ascii="Arial" w:hAnsi="Arial" w:cs="Arial"/>
          <w:sz w:val="20"/>
          <w:szCs w:val="20"/>
        </w:rPr>
      </w:pPr>
    </w:p>
    <w:p w14:paraId="78BB36C2" w14:textId="77777777"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3. Organización y Objeto Social:</w:t>
      </w:r>
      <w:bookmarkEnd w:id="2"/>
    </w:p>
    <w:p w14:paraId="4130B2C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C6A8BFB" w14:textId="17E9E517" w:rsidR="001A399A"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informará sobre:</w:t>
      </w:r>
    </w:p>
    <w:p w14:paraId="3F08304D"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831CE9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Objeto social.</w:t>
      </w:r>
    </w:p>
    <w:p w14:paraId="69CE6D4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4A32F078" w14:textId="030650EA"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2D74B524" w14:textId="77777777" w:rsidR="001A399A" w:rsidRPr="001A399A" w:rsidRDefault="001A399A" w:rsidP="001A399A">
      <w:pPr>
        <w:tabs>
          <w:tab w:val="left" w:leader="underscore" w:pos="9639"/>
        </w:tabs>
        <w:spacing w:after="0" w:line="240" w:lineRule="auto"/>
        <w:jc w:val="both"/>
        <w:rPr>
          <w:rFonts w:ascii="Arial" w:hAnsi="Arial" w:cs="Arial"/>
          <w:sz w:val="20"/>
          <w:szCs w:val="20"/>
        </w:rPr>
      </w:pPr>
    </w:p>
    <w:p w14:paraId="1F4007A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Principal actividad.</w:t>
      </w:r>
    </w:p>
    <w:p w14:paraId="7673811D" w14:textId="77777777" w:rsidR="00642FAC" w:rsidRPr="001A399A" w:rsidRDefault="00642FAC" w:rsidP="001A399A">
      <w:pPr>
        <w:spacing w:after="0" w:line="240" w:lineRule="auto"/>
        <w:jc w:val="both"/>
        <w:rPr>
          <w:rFonts w:ascii="Arial" w:hAnsi="Arial" w:cs="Arial"/>
          <w:sz w:val="20"/>
          <w:szCs w:val="20"/>
        </w:rPr>
      </w:pPr>
    </w:p>
    <w:p w14:paraId="482D2CBF"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Las funciones esenciales de la Universidad se invocan en el artículo 5º de su Ley Orgánica y atienden a lo siguiente: </w:t>
      </w:r>
    </w:p>
    <w:p w14:paraId="081A74EE" w14:textId="77777777" w:rsidR="00642FAC" w:rsidRPr="001A399A" w:rsidRDefault="00642FAC" w:rsidP="001A399A">
      <w:pPr>
        <w:spacing w:after="0" w:line="240" w:lineRule="auto"/>
        <w:jc w:val="both"/>
        <w:rPr>
          <w:rFonts w:ascii="Arial" w:hAnsi="Arial" w:cs="Arial"/>
          <w:sz w:val="20"/>
          <w:szCs w:val="20"/>
        </w:rPr>
      </w:pPr>
    </w:p>
    <w:p w14:paraId="7A048442" w14:textId="77777777" w:rsidR="00642FAC" w:rsidRDefault="00642FAC" w:rsidP="001A399A">
      <w:pPr>
        <w:pStyle w:val="Prrafodelista"/>
        <w:numPr>
          <w:ilvl w:val="0"/>
          <w:numId w:val="5"/>
        </w:numPr>
        <w:spacing w:after="0" w:line="240" w:lineRule="auto"/>
        <w:ind w:left="709" w:hanging="425"/>
        <w:contextualSpacing w:val="0"/>
        <w:jc w:val="both"/>
        <w:rPr>
          <w:rFonts w:ascii="Arial" w:hAnsi="Arial" w:cs="Arial"/>
          <w:sz w:val="20"/>
          <w:szCs w:val="20"/>
        </w:rPr>
      </w:pPr>
      <w:r w:rsidRPr="001A399A">
        <w:rPr>
          <w:rFonts w:ascii="Arial" w:hAnsi="Arial" w:cs="Arial"/>
          <w:sz w:val="20"/>
          <w:szCs w:val="20"/>
        </w:rPr>
        <w:t>La educación en los niveles que ella determine.</w:t>
      </w:r>
    </w:p>
    <w:p w14:paraId="6D42BF91" w14:textId="77777777" w:rsidR="003B21C9" w:rsidRPr="001A399A" w:rsidRDefault="003B21C9" w:rsidP="003B21C9">
      <w:pPr>
        <w:pStyle w:val="Prrafodelista"/>
        <w:spacing w:after="0" w:line="240" w:lineRule="auto"/>
        <w:ind w:left="709"/>
        <w:contextualSpacing w:val="0"/>
        <w:jc w:val="both"/>
        <w:rPr>
          <w:rFonts w:ascii="Arial" w:hAnsi="Arial" w:cs="Arial"/>
          <w:sz w:val="20"/>
          <w:szCs w:val="20"/>
        </w:rPr>
      </w:pPr>
    </w:p>
    <w:p w14:paraId="1A52C1DA" w14:textId="77777777" w:rsidR="00642FAC" w:rsidRPr="001A399A" w:rsidRDefault="00642FAC" w:rsidP="001A399A">
      <w:pPr>
        <w:pStyle w:val="Prrafodelista"/>
        <w:numPr>
          <w:ilvl w:val="0"/>
          <w:numId w:val="5"/>
        </w:numPr>
        <w:spacing w:after="0" w:line="240" w:lineRule="auto"/>
        <w:ind w:left="709" w:hanging="425"/>
        <w:contextualSpacing w:val="0"/>
        <w:jc w:val="both"/>
        <w:rPr>
          <w:rFonts w:ascii="Arial" w:hAnsi="Arial" w:cs="Arial"/>
          <w:sz w:val="20"/>
          <w:szCs w:val="20"/>
        </w:rPr>
      </w:pPr>
      <w:r w:rsidRPr="001A399A">
        <w:rPr>
          <w:rFonts w:ascii="Arial" w:hAnsi="Arial" w:cs="Arial"/>
          <w:sz w:val="20"/>
          <w:szCs w:val="20"/>
        </w:rPr>
        <w:t>La investigación científica, tecnológica y humanística, en cualquier área del conocimiento en relación con las necesidades locales, regionales, nacionales y del saber universal; y</w:t>
      </w:r>
    </w:p>
    <w:p w14:paraId="73E394FE" w14:textId="77777777" w:rsidR="00642FAC" w:rsidRPr="001A399A" w:rsidRDefault="00642FAC" w:rsidP="001A399A">
      <w:pPr>
        <w:spacing w:after="0" w:line="240" w:lineRule="auto"/>
        <w:jc w:val="both"/>
        <w:rPr>
          <w:rFonts w:ascii="Arial" w:hAnsi="Arial" w:cs="Arial"/>
          <w:sz w:val="20"/>
          <w:szCs w:val="20"/>
        </w:rPr>
      </w:pPr>
    </w:p>
    <w:p w14:paraId="265F9E53" w14:textId="5B14FF42" w:rsidR="003B21C9" w:rsidRDefault="00642FAC" w:rsidP="003B21C9">
      <w:pPr>
        <w:pStyle w:val="Prrafodelista"/>
        <w:numPr>
          <w:ilvl w:val="0"/>
          <w:numId w:val="5"/>
        </w:numPr>
        <w:spacing w:after="0" w:line="240" w:lineRule="auto"/>
        <w:ind w:left="709" w:hanging="425"/>
        <w:contextualSpacing w:val="0"/>
        <w:jc w:val="both"/>
        <w:rPr>
          <w:rFonts w:ascii="Arial" w:hAnsi="Arial" w:cs="Arial"/>
          <w:sz w:val="20"/>
          <w:szCs w:val="20"/>
        </w:rPr>
      </w:pPr>
      <w:r w:rsidRPr="001A399A">
        <w:rPr>
          <w:rFonts w:ascii="Arial" w:hAnsi="Arial" w:cs="Arial"/>
          <w:sz w:val="20"/>
          <w:szCs w:val="20"/>
        </w:rPr>
        <w:t>La creación, promoción y conservación de las expresiones del arte y la cultura; la preservación, la discusión y el acrecentamiento de los valores, así como la extensión a la sociedad de los beneficios de la ciencia y la tecnología.</w:t>
      </w:r>
    </w:p>
    <w:p w14:paraId="16532E13" w14:textId="77777777" w:rsidR="003B21C9" w:rsidRPr="003B21C9" w:rsidRDefault="003B21C9" w:rsidP="003B21C9">
      <w:pPr>
        <w:spacing w:after="0" w:line="240" w:lineRule="auto"/>
        <w:jc w:val="both"/>
        <w:rPr>
          <w:rFonts w:ascii="Arial" w:hAnsi="Arial" w:cs="Arial"/>
          <w:sz w:val="20"/>
          <w:szCs w:val="20"/>
        </w:rPr>
      </w:pPr>
    </w:p>
    <w:p w14:paraId="2BC2EA9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c)</w:t>
      </w:r>
      <w:r w:rsidRPr="001A399A">
        <w:rPr>
          <w:rFonts w:ascii="Arial" w:hAnsi="Arial" w:cs="Arial"/>
          <w:sz w:val="20"/>
          <w:szCs w:val="20"/>
        </w:rPr>
        <w:t xml:space="preserve"> Ejercicio fiscal.</w:t>
      </w:r>
    </w:p>
    <w:p w14:paraId="6FADB4B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177D6FC" w14:textId="4711C17A" w:rsid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información que se incluye en estas notas corresponde a los ejercicios que concluyeron el 31 de diciembre de 2024 y al 31 de diciembre del 2025.</w:t>
      </w:r>
    </w:p>
    <w:p w14:paraId="4B5C7E33" w14:textId="77777777" w:rsidR="003B21C9" w:rsidRPr="001A399A" w:rsidRDefault="003B21C9" w:rsidP="001A399A">
      <w:pPr>
        <w:spacing w:after="0" w:line="240" w:lineRule="auto"/>
        <w:jc w:val="both"/>
        <w:rPr>
          <w:rFonts w:ascii="Arial" w:hAnsi="Arial" w:cs="Arial"/>
          <w:sz w:val="20"/>
          <w:szCs w:val="20"/>
        </w:rPr>
      </w:pPr>
    </w:p>
    <w:p w14:paraId="7828B5F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Régimen jurídico: </w:t>
      </w:r>
    </w:p>
    <w:p w14:paraId="4CD8A4D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E3867E8"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44F6F1A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0A2046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e)</w:t>
      </w:r>
      <w:r w:rsidRPr="001A399A">
        <w:rPr>
          <w:rFonts w:ascii="Arial" w:hAnsi="Arial" w:cs="Arial"/>
          <w:sz w:val="20"/>
          <w:szCs w:val="20"/>
        </w:rPr>
        <w:t xml:space="preserve"> Consideraciones fiscales del ente.</w:t>
      </w:r>
    </w:p>
    <w:p w14:paraId="7290216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1E5F91BE" w14:textId="77777777" w:rsidR="00642FAC" w:rsidRDefault="00642FAC" w:rsidP="001A399A">
      <w:pPr>
        <w:pStyle w:val="Prrafodelista"/>
        <w:numPr>
          <w:ilvl w:val="0"/>
          <w:numId w:val="14"/>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Régimen fiscal:</w:t>
      </w:r>
    </w:p>
    <w:p w14:paraId="360530BA" w14:textId="77777777" w:rsidR="001A145C" w:rsidRDefault="001A145C" w:rsidP="001A399A">
      <w:pPr>
        <w:tabs>
          <w:tab w:val="left" w:leader="underscore" w:pos="9639"/>
        </w:tabs>
        <w:spacing w:after="0" w:line="240" w:lineRule="auto"/>
        <w:jc w:val="both"/>
        <w:rPr>
          <w:rFonts w:ascii="Arial" w:hAnsi="Arial" w:cs="Arial"/>
          <w:sz w:val="20"/>
          <w:szCs w:val="20"/>
        </w:rPr>
      </w:pPr>
    </w:p>
    <w:p w14:paraId="5366E796" w14:textId="37BF03E5"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 xml:space="preserve">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 No efectúan retenciones del Impuesto al Valor Agregado de conformidad con el artículo 3º, tercer párrafo, de la Ley del Impuesto al Valor Agregado. </w:t>
      </w:r>
    </w:p>
    <w:p w14:paraId="2DCF3CDC" w14:textId="77777777" w:rsidR="00642FAC" w:rsidRPr="001A399A" w:rsidRDefault="00642FAC" w:rsidP="001A399A">
      <w:pPr>
        <w:spacing w:after="0" w:line="240" w:lineRule="auto"/>
        <w:jc w:val="both"/>
        <w:rPr>
          <w:rFonts w:ascii="Arial" w:hAnsi="Arial" w:cs="Arial"/>
          <w:sz w:val="20"/>
          <w:szCs w:val="20"/>
        </w:rPr>
      </w:pPr>
    </w:p>
    <w:p w14:paraId="025E95D3"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1B6689EA" w14:textId="77777777" w:rsidR="00642FAC" w:rsidRPr="001A399A" w:rsidRDefault="00642FAC" w:rsidP="001A399A">
      <w:pPr>
        <w:spacing w:after="0" w:line="240" w:lineRule="auto"/>
        <w:jc w:val="both"/>
        <w:rPr>
          <w:rFonts w:ascii="Arial" w:hAnsi="Arial" w:cs="Arial"/>
          <w:sz w:val="20"/>
          <w:szCs w:val="20"/>
        </w:rPr>
      </w:pPr>
    </w:p>
    <w:p w14:paraId="47C5A19C" w14:textId="77777777" w:rsidR="00642FAC" w:rsidRDefault="00642FAC" w:rsidP="001A399A">
      <w:pPr>
        <w:pStyle w:val="Prrafodelista"/>
        <w:numPr>
          <w:ilvl w:val="0"/>
          <w:numId w:val="14"/>
        </w:numPr>
        <w:spacing w:after="0" w:line="240" w:lineRule="auto"/>
        <w:contextualSpacing w:val="0"/>
        <w:jc w:val="both"/>
        <w:rPr>
          <w:rFonts w:ascii="Arial" w:hAnsi="Arial" w:cs="Arial"/>
          <w:sz w:val="20"/>
          <w:szCs w:val="20"/>
        </w:rPr>
      </w:pPr>
      <w:r w:rsidRPr="001A399A">
        <w:rPr>
          <w:rFonts w:ascii="Arial" w:hAnsi="Arial" w:cs="Arial"/>
          <w:sz w:val="20"/>
          <w:szCs w:val="20"/>
        </w:rPr>
        <w:t>Obligaciones fiscales:</w:t>
      </w:r>
    </w:p>
    <w:p w14:paraId="5B1024B6" w14:textId="77777777" w:rsidR="003B21C9" w:rsidRPr="001A399A" w:rsidRDefault="003B21C9" w:rsidP="003B21C9">
      <w:pPr>
        <w:pStyle w:val="Prrafodelista"/>
        <w:spacing w:after="0" w:line="240" w:lineRule="auto"/>
        <w:contextualSpacing w:val="0"/>
        <w:jc w:val="both"/>
        <w:rPr>
          <w:rFonts w:ascii="Arial" w:hAnsi="Arial" w:cs="Arial"/>
          <w:sz w:val="20"/>
          <w:szCs w:val="20"/>
        </w:rPr>
      </w:pPr>
    </w:p>
    <w:p w14:paraId="03D5C214" w14:textId="77777777" w:rsidR="00642FAC" w:rsidRPr="001A399A" w:rsidRDefault="00642FAC" w:rsidP="001A399A">
      <w:pPr>
        <w:spacing w:after="0" w:line="240" w:lineRule="auto"/>
        <w:ind w:firstLine="633"/>
        <w:jc w:val="both"/>
        <w:rPr>
          <w:rFonts w:ascii="Arial" w:hAnsi="Arial" w:cs="Arial"/>
          <w:sz w:val="20"/>
          <w:szCs w:val="20"/>
        </w:rPr>
      </w:pPr>
      <w:r w:rsidRPr="001A399A">
        <w:rPr>
          <w:rFonts w:ascii="Arial" w:hAnsi="Arial" w:cs="Arial"/>
          <w:sz w:val="20"/>
          <w:szCs w:val="20"/>
        </w:rPr>
        <w:t>Las obligaciones fiscales de la Universidad atienden a lo siguiente:</w:t>
      </w:r>
    </w:p>
    <w:p w14:paraId="3A833C07" w14:textId="77777777" w:rsidR="00642FAC" w:rsidRPr="001A399A" w:rsidRDefault="00642FAC" w:rsidP="001A399A">
      <w:pPr>
        <w:spacing w:after="0" w:line="240" w:lineRule="auto"/>
        <w:ind w:firstLine="633"/>
        <w:jc w:val="both"/>
        <w:rPr>
          <w:rFonts w:ascii="Arial" w:hAnsi="Arial" w:cs="Arial"/>
          <w:sz w:val="20"/>
          <w:szCs w:val="20"/>
        </w:rPr>
      </w:pPr>
    </w:p>
    <w:p w14:paraId="57A2AC50" w14:textId="77777777" w:rsidR="00642FAC"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Entero de retenciones mensuales de Impuesto Sobre la Renta por sueldos y salarios.</w:t>
      </w:r>
    </w:p>
    <w:p w14:paraId="72125456" w14:textId="77777777" w:rsidR="003B21C9" w:rsidRPr="001A399A" w:rsidRDefault="003B21C9" w:rsidP="003B21C9">
      <w:pPr>
        <w:pStyle w:val="Prrafodelista"/>
        <w:spacing w:after="0" w:line="240" w:lineRule="auto"/>
        <w:ind w:left="993"/>
        <w:contextualSpacing w:val="0"/>
        <w:jc w:val="both"/>
        <w:rPr>
          <w:rFonts w:ascii="Arial" w:hAnsi="Arial" w:cs="Arial"/>
          <w:sz w:val="20"/>
          <w:szCs w:val="20"/>
        </w:rPr>
      </w:pPr>
    </w:p>
    <w:p w14:paraId="16B955C0" w14:textId="77777777"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Entero de retención de Impuesto Sobre la Renta por servicios profesionales.</w:t>
      </w:r>
    </w:p>
    <w:p w14:paraId="49D5B083"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5F1B74AD" w14:textId="00BF66C1"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Entero de retenciones mensuales de Impuesto Sobre la Renta por ingresos asimilados a salarios.</w:t>
      </w:r>
    </w:p>
    <w:p w14:paraId="532580A2"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3B57E717" w14:textId="25E1667D"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informativa anual de retenciones de Impuesto Sobre la Renta por arrendamientos de inmuebles.</w:t>
      </w:r>
    </w:p>
    <w:p w14:paraId="7194E0A2"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364939D1" w14:textId="60C49BAB"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informativa anual de pagos y retenciones de servicios profesionales. Personas Morales. Impuesto Sobre la Renta.</w:t>
      </w:r>
    </w:p>
    <w:p w14:paraId="3878A99F"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323BE650" w14:textId="777AAE2B"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Entero mensual de retenciones de Impuesto Sobre la Renta de ingresos por arrendamiento.</w:t>
      </w:r>
    </w:p>
    <w:p w14:paraId="6C80E5C9"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3EFF474E" w14:textId="0810184D"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Pago definitivo mensual de Impuesto al Valor Agregado.</w:t>
      </w:r>
    </w:p>
    <w:p w14:paraId="068DA6A9" w14:textId="77777777" w:rsidR="003B21C9" w:rsidRPr="003B21C9" w:rsidRDefault="003B21C9" w:rsidP="003B21C9">
      <w:pPr>
        <w:spacing w:after="0" w:line="240" w:lineRule="auto"/>
        <w:jc w:val="both"/>
        <w:rPr>
          <w:rFonts w:ascii="Arial" w:hAnsi="Arial" w:cs="Arial"/>
          <w:sz w:val="20"/>
          <w:szCs w:val="20"/>
        </w:rPr>
      </w:pPr>
    </w:p>
    <w:p w14:paraId="625F56AC" w14:textId="6AE79D47"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informativa mensual de proveedores.</w:t>
      </w:r>
    </w:p>
    <w:p w14:paraId="6E87A13F"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7E8CEE6E" w14:textId="26002491"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Retenciones a residentes en el extranjero sin establecimiento permanente en México.</w:t>
      </w:r>
    </w:p>
    <w:p w14:paraId="4B8F3132"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7FA3EC04" w14:textId="6441CE2B"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anual de Impuesto Sobre la Renta del ejercicio personas morales.</w:t>
      </w:r>
    </w:p>
    <w:p w14:paraId="0FB6CD91"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4EA2519C" w14:textId="4F5F2261"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de proveedores de Impuesto al Valor Agregado.</w:t>
      </w:r>
    </w:p>
    <w:p w14:paraId="5FB04C6E"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4421A6C3" w14:textId="4E604E7F"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informativa de Impuesto al Valor Agregado con la anual de Impuesto Sobre la Renta.</w:t>
      </w:r>
    </w:p>
    <w:p w14:paraId="4F20FE50"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5A075F8E" w14:textId="09710031"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Declaración informativa anual de retenciones del Impuesto Sobre la Renta y pagos efectuados a residentes en el extranjero.</w:t>
      </w:r>
    </w:p>
    <w:p w14:paraId="237D438A" w14:textId="77777777" w:rsidR="003B21C9" w:rsidRDefault="003B21C9" w:rsidP="003B21C9">
      <w:pPr>
        <w:pStyle w:val="Prrafodelista"/>
        <w:spacing w:after="0" w:line="240" w:lineRule="auto"/>
        <w:ind w:left="993"/>
        <w:contextualSpacing w:val="0"/>
        <w:jc w:val="both"/>
        <w:rPr>
          <w:rFonts w:ascii="Arial" w:hAnsi="Arial" w:cs="Arial"/>
          <w:sz w:val="20"/>
          <w:szCs w:val="20"/>
        </w:rPr>
      </w:pPr>
    </w:p>
    <w:p w14:paraId="67E9A6D2" w14:textId="3FC92AD7" w:rsidR="00642FAC" w:rsidRPr="001A399A" w:rsidRDefault="00642FAC" w:rsidP="001A399A">
      <w:pPr>
        <w:pStyle w:val="Prrafodelista"/>
        <w:numPr>
          <w:ilvl w:val="0"/>
          <w:numId w:val="13"/>
        </w:numPr>
        <w:spacing w:after="0" w:line="240" w:lineRule="auto"/>
        <w:ind w:left="993"/>
        <w:contextualSpacing w:val="0"/>
        <w:jc w:val="both"/>
        <w:rPr>
          <w:rFonts w:ascii="Arial" w:hAnsi="Arial" w:cs="Arial"/>
          <w:sz w:val="20"/>
          <w:szCs w:val="20"/>
        </w:rPr>
      </w:pPr>
      <w:r w:rsidRPr="001A399A">
        <w:rPr>
          <w:rFonts w:ascii="Arial" w:hAnsi="Arial" w:cs="Arial"/>
          <w:sz w:val="20"/>
          <w:szCs w:val="20"/>
        </w:rPr>
        <w:t>Entero de retenciones de Impuesto al Valor Agregado mensual.</w:t>
      </w:r>
    </w:p>
    <w:p w14:paraId="2B5CC342" w14:textId="77777777" w:rsidR="001A399A" w:rsidRPr="001A399A" w:rsidRDefault="001A399A" w:rsidP="001A399A">
      <w:pPr>
        <w:pStyle w:val="Prrafodelista"/>
        <w:spacing w:after="0" w:line="240" w:lineRule="auto"/>
        <w:ind w:left="993"/>
        <w:contextualSpacing w:val="0"/>
        <w:jc w:val="both"/>
        <w:rPr>
          <w:rFonts w:ascii="Arial" w:hAnsi="Arial" w:cs="Arial"/>
          <w:sz w:val="20"/>
          <w:szCs w:val="20"/>
        </w:rPr>
      </w:pPr>
    </w:p>
    <w:p w14:paraId="09B1B72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1CB5BF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 xml:space="preserve">Podrían existir otras obligaciones fiscales derivado de operaciones que de manera extraordinaria o esporádica realice la Universidad en el marco de sus atribuciones legales. </w:t>
      </w:r>
    </w:p>
    <w:p w14:paraId="7193A037" w14:textId="77777777" w:rsidR="00642FAC" w:rsidRDefault="00642FAC" w:rsidP="001A399A">
      <w:pPr>
        <w:tabs>
          <w:tab w:val="left" w:leader="underscore" w:pos="9639"/>
        </w:tabs>
        <w:spacing w:after="0" w:line="240" w:lineRule="auto"/>
        <w:jc w:val="both"/>
        <w:rPr>
          <w:rFonts w:ascii="Arial" w:hAnsi="Arial" w:cs="Arial"/>
          <w:sz w:val="20"/>
          <w:szCs w:val="20"/>
        </w:rPr>
      </w:pPr>
    </w:p>
    <w:p w14:paraId="333A7434"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4776527F" w14:textId="77777777" w:rsidR="00642FAC" w:rsidRDefault="00642FAC" w:rsidP="001A399A">
      <w:pPr>
        <w:spacing w:after="0" w:line="240" w:lineRule="auto"/>
        <w:jc w:val="both"/>
        <w:rPr>
          <w:rFonts w:ascii="Arial" w:hAnsi="Arial" w:cs="Arial"/>
          <w:sz w:val="20"/>
          <w:szCs w:val="20"/>
        </w:rPr>
      </w:pPr>
      <w:r w:rsidRPr="001A399A">
        <w:rPr>
          <w:rFonts w:ascii="Arial" w:hAnsi="Arial" w:cs="Arial"/>
          <w:b/>
          <w:sz w:val="20"/>
          <w:szCs w:val="20"/>
        </w:rPr>
        <w:t>f)</w:t>
      </w:r>
      <w:r w:rsidRPr="001A399A">
        <w:rPr>
          <w:rFonts w:ascii="Arial" w:hAnsi="Arial" w:cs="Arial"/>
          <w:sz w:val="20"/>
          <w:szCs w:val="20"/>
        </w:rPr>
        <w:t xml:space="preserve"> Estructura organizacional básica.</w:t>
      </w:r>
    </w:p>
    <w:p w14:paraId="745E2AE0" w14:textId="77777777" w:rsidR="003B21C9" w:rsidRDefault="003B21C9" w:rsidP="001A399A">
      <w:pPr>
        <w:spacing w:after="0" w:line="240" w:lineRule="auto"/>
        <w:jc w:val="both"/>
        <w:rPr>
          <w:rFonts w:ascii="Arial" w:hAnsi="Arial" w:cs="Arial"/>
          <w:sz w:val="20"/>
          <w:szCs w:val="20"/>
        </w:rPr>
      </w:pPr>
    </w:p>
    <w:p w14:paraId="1D090C00" w14:textId="77777777" w:rsidR="003B21C9" w:rsidRPr="001A399A" w:rsidRDefault="003B21C9" w:rsidP="001A399A">
      <w:pPr>
        <w:spacing w:after="0" w:line="240" w:lineRule="auto"/>
        <w:jc w:val="both"/>
        <w:rPr>
          <w:rFonts w:ascii="Arial" w:hAnsi="Arial" w:cs="Arial"/>
          <w:sz w:val="20"/>
          <w:szCs w:val="20"/>
        </w:rPr>
      </w:pPr>
    </w:p>
    <w:p w14:paraId="2147ADED" w14:textId="77777777" w:rsidR="00642FAC" w:rsidRPr="001A399A" w:rsidRDefault="00642FAC" w:rsidP="001A399A">
      <w:pPr>
        <w:tabs>
          <w:tab w:val="left" w:leader="underscore" w:pos="9639"/>
        </w:tabs>
        <w:spacing w:after="0" w:line="240" w:lineRule="auto"/>
        <w:jc w:val="center"/>
        <w:rPr>
          <w:rFonts w:ascii="Arial" w:hAnsi="Arial" w:cs="Arial"/>
          <w:sz w:val="20"/>
          <w:szCs w:val="20"/>
        </w:rPr>
      </w:pPr>
      <w:r w:rsidRPr="001A399A">
        <w:rPr>
          <w:rFonts w:ascii="Arial" w:hAnsi="Arial" w:cs="Arial"/>
          <w:noProof/>
          <w:sz w:val="20"/>
          <w:szCs w:val="20"/>
        </w:rPr>
        <w:lastRenderedPageBreak/>
        <w:drawing>
          <wp:inline distT="0" distB="0" distL="0" distR="0" wp14:anchorId="460DE9E7" wp14:editId="1ED3199D">
            <wp:extent cx="5727561" cy="2760652"/>
            <wp:effectExtent l="0" t="0" r="6985" b="1905"/>
            <wp:docPr id="415548636" name="Imagen 415548636"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5760557" cy="2776556"/>
                    </a:xfrm>
                    <a:prstGeom prst="rect">
                      <a:avLst/>
                    </a:prstGeom>
                  </pic:spPr>
                </pic:pic>
              </a:graphicData>
            </a:graphic>
          </wp:inline>
        </w:drawing>
      </w:r>
    </w:p>
    <w:p w14:paraId="55E82421" w14:textId="77777777" w:rsidR="00642FAC" w:rsidRDefault="00642FAC" w:rsidP="001A399A">
      <w:pPr>
        <w:tabs>
          <w:tab w:val="left" w:leader="underscore" w:pos="9639"/>
        </w:tabs>
        <w:spacing w:after="0" w:line="240" w:lineRule="auto"/>
        <w:jc w:val="both"/>
        <w:rPr>
          <w:rFonts w:ascii="Arial" w:hAnsi="Arial" w:cs="Arial"/>
          <w:b/>
          <w:sz w:val="20"/>
          <w:szCs w:val="20"/>
        </w:rPr>
      </w:pPr>
    </w:p>
    <w:p w14:paraId="42C284C6" w14:textId="77777777" w:rsidR="003B21C9" w:rsidRPr="001A399A" w:rsidRDefault="003B21C9" w:rsidP="001A399A">
      <w:pPr>
        <w:tabs>
          <w:tab w:val="left" w:leader="underscore" w:pos="9639"/>
        </w:tabs>
        <w:spacing w:after="0" w:line="240" w:lineRule="auto"/>
        <w:jc w:val="both"/>
        <w:rPr>
          <w:rFonts w:ascii="Arial" w:hAnsi="Arial" w:cs="Arial"/>
          <w:b/>
          <w:sz w:val="20"/>
          <w:szCs w:val="20"/>
        </w:rPr>
      </w:pPr>
    </w:p>
    <w:p w14:paraId="45BEE75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g)</w:t>
      </w:r>
      <w:r w:rsidRPr="001A399A">
        <w:rPr>
          <w:rFonts w:ascii="Arial" w:hAnsi="Arial" w:cs="Arial"/>
          <w:sz w:val="20"/>
          <w:szCs w:val="20"/>
        </w:rPr>
        <w:t xml:space="preserve"> Fideicomisos de los cuales es fideicomitente o fideicomisario.</w:t>
      </w:r>
    </w:p>
    <w:p w14:paraId="47BD0CC1" w14:textId="77777777" w:rsidR="00642FAC" w:rsidRPr="001A399A" w:rsidRDefault="00642FAC" w:rsidP="001A399A">
      <w:pPr>
        <w:spacing w:after="0" w:line="240" w:lineRule="auto"/>
        <w:jc w:val="both"/>
        <w:rPr>
          <w:rFonts w:ascii="Arial" w:hAnsi="Arial" w:cs="Arial"/>
          <w:sz w:val="20"/>
          <w:szCs w:val="20"/>
        </w:rPr>
      </w:pPr>
    </w:p>
    <w:p w14:paraId="3A9F2B65"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07508F0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88B77AD" w14:textId="77777777" w:rsidR="00642FAC" w:rsidRPr="001A399A" w:rsidRDefault="00642FAC" w:rsidP="001A399A">
      <w:pPr>
        <w:pStyle w:val="Prrafodelista"/>
        <w:numPr>
          <w:ilvl w:val="0"/>
          <w:numId w:val="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Programa para el Desarrollo Profesional Docente.</w:t>
      </w:r>
    </w:p>
    <w:p w14:paraId="597AFEEA" w14:textId="77777777" w:rsidR="00642FAC" w:rsidRPr="001A399A" w:rsidRDefault="00642FAC" w:rsidP="001A399A">
      <w:pPr>
        <w:pStyle w:val="Prrafodelista"/>
        <w:numPr>
          <w:ilvl w:val="0"/>
          <w:numId w:val="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Programa de Mejoramiento del Profesorado.</w:t>
      </w:r>
    </w:p>
    <w:p w14:paraId="5E923365" w14:textId="77777777" w:rsidR="00642FAC" w:rsidRDefault="00642FAC" w:rsidP="001A399A">
      <w:pPr>
        <w:pStyle w:val="Prrafodelista"/>
        <w:numPr>
          <w:ilvl w:val="0"/>
          <w:numId w:val="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Fondo de Pensiones.</w:t>
      </w:r>
    </w:p>
    <w:p w14:paraId="492127EA" w14:textId="77777777" w:rsidR="003B21C9" w:rsidRPr="003B21C9" w:rsidRDefault="003B21C9" w:rsidP="003B21C9">
      <w:pPr>
        <w:tabs>
          <w:tab w:val="left" w:leader="underscore" w:pos="9639"/>
        </w:tabs>
        <w:spacing w:after="0" w:line="240" w:lineRule="auto"/>
        <w:jc w:val="both"/>
        <w:rPr>
          <w:rFonts w:ascii="Arial" w:hAnsi="Arial" w:cs="Arial"/>
          <w:sz w:val="20"/>
          <w:szCs w:val="20"/>
        </w:rPr>
      </w:pPr>
    </w:p>
    <w:p w14:paraId="29CA821C" w14:textId="77777777" w:rsidR="00642FAC" w:rsidRPr="001A399A" w:rsidRDefault="00642FAC" w:rsidP="001A399A">
      <w:pPr>
        <w:spacing w:after="0" w:line="240" w:lineRule="auto"/>
        <w:jc w:val="both"/>
        <w:rPr>
          <w:rFonts w:ascii="Arial" w:hAnsi="Arial" w:cs="Arial"/>
          <w:sz w:val="20"/>
          <w:szCs w:val="20"/>
        </w:rPr>
      </w:pPr>
    </w:p>
    <w:p w14:paraId="5927BE81" w14:textId="45C15834" w:rsidR="003B21C9" w:rsidRDefault="001A145C" w:rsidP="001A145C">
      <w:pPr>
        <w:pStyle w:val="Ttulo2"/>
        <w:spacing w:before="0" w:line="240" w:lineRule="auto"/>
        <w:jc w:val="both"/>
        <w:rPr>
          <w:rFonts w:ascii="Arial" w:hAnsi="Arial" w:cs="Arial"/>
          <w:b/>
          <w:color w:val="auto"/>
          <w:sz w:val="20"/>
          <w:szCs w:val="20"/>
        </w:rPr>
      </w:pPr>
      <w:bookmarkStart w:id="3" w:name="_Toc161472869"/>
      <w:r>
        <w:rPr>
          <w:rFonts w:ascii="Arial" w:hAnsi="Arial" w:cs="Arial"/>
          <w:b/>
          <w:color w:val="auto"/>
          <w:sz w:val="20"/>
          <w:szCs w:val="20"/>
        </w:rPr>
        <w:t xml:space="preserve">4. </w:t>
      </w:r>
      <w:r w:rsidR="00642FAC" w:rsidRPr="001A399A">
        <w:rPr>
          <w:rFonts w:ascii="Arial" w:hAnsi="Arial" w:cs="Arial"/>
          <w:b/>
          <w:color w:val="auto"/>
          <w:sz w:val="20"/>
          <w:szCs w:val="20"/>
        </w:rPr>
        <w:t>Bases de Preparación de los Estados Financieros:</w:t>
      </w:r>
      <w:bookmarkEnd w:id="3"/>
    </w:p>
    <w:p w14:paraId="442F5EBC" w14:textId="77777777" w:rsidR="00642FAC" w:rsidRDefault="00642FAC" w:rsidP="001A399A">
      <w:pPr>
        <w:pStyle w:val="Prrafodelista"/>
        <w:spacing w:after="0" w:line="240" w:lineRule="auto"/>
        <w:contextualSpacing w:val="0"/>
        <w:rPr>
          <w:rFonts w:ascii="Arial" w:hAnsi="Arial" w:cs="Arial"/>
          <w:sz w:val="20"/>
          <w:szCs w:val="20"/>
        </w:rPr>
      </w:pPr>
    </w:p>
    <w:p w14:paraId="1BE3463B" w14:textId="77777777" w:rsidR="003B21C9" w:rsidRPr="001A399A" w:rsidRDefault="003B21C9" w:rsidP="001A399A">
      <w:pPr>
        <w:pStyle w:val="Prrafodelista"/>
        <w:spacing w:after="0" w:line="240" w:lineRule="auto"/>
        <w:contextualSpacing w:val="0"/>
        <w:rPr>
          <w:rFonts w:ascii="Arial" w:hAnsi="Arial" w:cs="Arial"/>
          <w:sz w:val="20"/>
          <w:szCs w:val="20"/>
        </w:rPr>
      </w:pPr>
    </w:p>
    <w:p w14:paraId="6852196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30A56CB8" w14:textId="77777777" w:rsidR="00642FAC" w:rsidRDefault="00642FAC" w:rsidP="001A399A">
      <w:pPr>
        <w:tabs>
          <w:tab w:val="left" w:leader="underscore" w:pos="9639"/>
        </w:tabs>
        <w:spacing w:after="0" w:line="240" w:lineRule="auto"/>
        <w:jc w:val="both"/>
        <w:rPr>
          <w:rFonts w:ascii="Arial" w:hAnsi="Arial" w:cs="Arial"/>
          <w:sz w:val="20"/>
          <w:szCs w:val="20"/>
        </w:rPr>
      </w:pPr>
    </w:p>
    <w:p w14:paraId="575A4139"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5E961D97" w14:textId="1794B8E9"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Si se ha observado la normatividad emitida por el CONAC y las disposiciones legales aplicables.</w:t>
      </w:r>
    </w:p>
    <w:p w14:paraId="587068D0"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3FFA1A0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78C52ECB" w14:textId="77777777" w:rsidR="00642FAC" w:rsidRPr="001A399A" w:rsidRDefault="00642FAC" w:rsidP="001A399A">
      <w:pPr>
        <w:spacing w:after="0" w:line="240" w:lineRule="auto"/>
        <w:jc w:val="both"/>
        <w:rPr>
          <w:rFonts w:ascii="Arial" w:hAnsi="Arial" w:cs="Arial"/>
          <w:sz w:val="20"/>
          <w:szCs w:val="20"/>
        </w:rPr>
      </w:pPr>
    </w:p>
    <w:p w14:paraId="06CAE6A3" w14:textId="77777777" w:rsidR="003B21C9" w:rsidRDefault="003B21C9" w:rsidP="001A399A">
      <w:pPr>
        <w:spacing w:after="0" w:line="240" w:lineRule="auto"/>
        <w:jc w:val="both"/>
        <w:rPr>
          <w:rFonts w:ascii="Arial" w:hAnsi="Arial" w:cs="Arial"/>
          <w:sz w:val="20"/>
          <w:szCs w:val="20"/>
        </w:rPr>
      </w:pPr>
    </w:p>
    <w:p w14:paraId="0EDB319B" w14:textId="77777777" w:rsidR="003B21C9" w:rsidRDefault="003B21C9" w:rsidP="001A399A">
      <w:pPr>
        <w:spacing w:after="0" w:line="240" w:lineRule="auto"/>
        <w:jc w:val="both"/>
        <w:rPr>
          <w:rFonts w:ascii="Arial" w:hAnsi="Arial" w:cs="Arial"/>
          <w:sz w:val="20"/>
          <w:szCs w:val="20"/>
        </w:rPr>
      </w:pPr>
    </w:p>
    <w:p w14:paraId="3FA1210D" w14:textId="7909FA7B"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237DBA94" w14:textId="77777777" w:rsidR="00642FAC" w:rsidRDefault="00642FAC" w:rsidP="001A399A">
      <w:pPr>
        <w:spacing w:after="0" w:line="240" w:lineRule="auto"/>
        <w:jc w:val="both"/>
        <w:rPr>
          <w:rFonts w:ascii="Arial" w:hAnsi="Arial" w:cs="Arial"/>
          <w:sz w:val="20"/>
          <w:szCs w:val="20"/>
        </w:rPr>
      </w:pPr>
    </w:p>
    <w:p w14:paraId="37DC32D1" w14:textId="77777777" w:rsidR="003B21C9" w:rsidRPr="001A399A" w:rsidRDefault="003B21C9" w:rsidP="001A399A">
      <w:pPr>
        <w:spacing w:after="0" w:line="240" w:lineRule="auto"/>
        <w:jc w:val="both"/>
        <w:rPr>
          <w:rFonts w:ascii="Arial" w:hAnsi="Arial" w:cs="Arial"/>
          <w:sz w:val="20"/>
          <w:szCs w:val="20"/>
        </w:rPr>
      </w:pPr>
    </w:p>
    <w:p w14:paraId="401DB7A3" w14:textId="3F8689D4" w:rsidR="003B21C9"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lastRenderedPageBreak/>
        <w:t>b)</w:t>
      </w:r>
      <w:r w:rsidRPr="001A399A">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CD464CE" w14:textId="77777777" w:rsidR="00642FAC" w:rsidRPr="001A399A" w:rsidRDefault="00642FAC" w:rsidP="001A399A">
      <w:pPr>
        <w:spacing w:after="0" w:line="240" w:lineRule="auto"/>
        <w:jc w:val="both"/>
        <w:rPr>
          <w:rFonts w:ascii="Arial" w:hAnsi="Arial" w:cs="Arial"/>
          <w:sz w:val="20"/>
          <w:szCs w:val="20"/>
        </w:rPr>
      </w:pPr>
    </w:p>
    <w:p w14:paraId="1B2C02DD"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normativa que aplica la Universidad para reconocer, valuar y revelar la información en sus estados financieros, así como las bases de medición utilizadas para la elaboración de los mismos son:</w:t>
      </w:r>
    </w:p>
    <w:p w14:paraId="529E8D38"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18D10A08"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Costo de adquisición y/o histórico. </w:t>
      </w:r>
    </w:p>
    <w:p w14:paraId="267A986C"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Costo de reposición y/o reemplazo. </w:t>
      </w:r>
    </w:p>
    <w:p w14:paraId="4836249A"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Recurso histórico. </w:t>
      </w:r>
    </w:p>
    <w:p w14:paraId="6026F8B7"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Valor de realización. </w:t>
      </w:r>
    </w:p>
    <w:p w14:paraId="52207D57"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Valor neto de realización. </w:t>
      </w:r>
    </w:p>
    <w:p w14:paraId="43754BEC"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Valor de liquidación. </w:t>
      </w:r>
    </w:p>
    <w:p w14:paraId="05EE63FF" w14:textId="77777777" w:rsidR="00642FAC" w:rsidRPr="001A399A"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Valor presente. </w:t>
      </w:r>
    </w:p>
    <w:p w14:paraId="0E109869" w14:textId="7405E763" w:rsidR="00642FAC" w:rsidRDefault="00642FAC" w:rsidP="001A399A">
      <w:pPr>
        <w:pStyle w:val="Prrafodelista"/>
        <w:numPr>
          <w:ilvl w:val="0"/>
          <w:numId w:val="15"/>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Valor razonable. </w:t>
      </w:r>
    </w:p>
    <w:p w14:paraId="3B18FAC7" w14:textId="77777777" w:rsidR="003B21C9" w:rsidRDefault="003B21C9" w:rsidP="001A399A">
      <w:pPr>
        <w:spacing w:after="0" w:line="240" w:lineRule="auto"/>
        <w:jc w:val="both"/>
        <w:rPr>
          <w:rFonts w:ascii="Arial" w:hAnsi="Arial" w:cs="Arial"/>
          <w:sz w:val="20"/>
          <w:szCs w:val="20"/>
        </w:rPr>
      </w:pPr>
    </w:p>
    <w:p w14:paraId="0EE2A3F7" w14:textId="77777777" w:rsidR="001A145C" w:rsidRPr="001A399A" w:rsidRDefault="001A145C" w:rsidP="001A399A">
      <w:pPr>
        <w:spacing w:after="0" w:line="240" w:lineRule="auto"/>
        <w:jc w:val="both"/>
        <w:rPr>
          <w:rFonts w:ascii="Arial" w:hAnsi="Arial" w:cs="Arial"/>
          <w:sz w:val="20"/>
          <w:szCs w:val="20"/>
        </w:rPr>
      </w:pPr>
    </w:p>
    <w:p w14:paraId="2DB3B23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c)</w:t>
      </w:r>
      <w:r w:rsidRPr="001A399A">
        <w:rPr>
          <w:rFonts w:ascii="Arial" w:hAnsi="Arial" w:cs="Arial"/>
          <w:sz w:val="20"/>
          <w:szCs w:val="20"/>
        </w:rPr>
        <w:t xml:space="preserve"> Postulados básicos de Contabilidad Gubernamental (PBCG).</w:t>
      </w:r>
    </w:p>
    <w:p w14:paraId="2BDB74F0" w14:textId="77777777" w:rsidR="003B21C9" w:rsidRPr="001A399A" w:rsidRDefault="003B21C9" w:rsidP="001A399A">
      <w:pPr>
        <w:spacing w:after="0" w:line="240" w:lineRule="auto"/>
        <w:jc w:val="both"/>
        <w:rPr>
          <w:rFonts w:ascii="Arial" w:hAnsi="Arial" w:cs="Arial"/>
          <w:sz w:val="20"/>
          <w:szCs w:val="20"/>
        </w:rPr>
      </w:pPr>
    </w:p>
    <w:p w14:paraId="420CDE4C"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7259447"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02B8E64D"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Sustancia económica.</w:t>
      </w:r>
    </w:p>
    <w:p w14:paraId="0A67BF8A"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Entes públicos.</w:t>
      </w:r>
    </w:p>
    <w:p w14:paraId="492BC104"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Existencia permanente.</w:t>
      </w:r>
    </w:p>
    <w:p w14:paraId="2E98838C"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Revelación suficiente.</w:t>
      </w:r>
    </w:p>
    <w:p w14:paraId="2BFB58E5"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Importancia relativa.</w:t>
      </w:r>
    </w:p>
    <w:p w14:paraId="648E0428"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Registro e integración presupuestaria.</w:t>
      </w:r>
    </w:p>
    <w:p w14:paraId="374270DC"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Consolidación de la información financiera.</w:t>
      </w:r>
    </w:p>
    <w:p w14:paraId="0AF08B35"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Devengo contable.</w:t>
      </w:r>
    </w:p>
    <w:p w14:paraId="49191737"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Valuación.</w:t>
      </w:r>
    </w:p>
    <w:p w14:paraId="629C8433"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Dualidad económica.</w:t>
      </w:r>
    </w:p>
    <w:p w14:paraId="298895F6" w14:textId="77777777" w:rsidR="00642FAC" w:rsidRPr="001A399A" w:rsidRDefault="00642FAC" w:rsidP="001A399A">
      <w:pPr>
        <w:pStyle w:val="Prrafodelista"/>
        <w:numPr>
          <w:ilvl w:val="0"/>
          <w:numId w:val="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Consistencia.</w:t>
      </w:r>
    </w:p>
    <w:p w14:paraId="77EDB463" w14:textId="77777777" w:rsidR="00642FAC" w:rsidRDefault="00642FAC" w:rsidP="001A399A">
      <w:pPr>
        <w:pStyle w:val="Prrafodelista"/>
        <w:spacing w:after="0" w:line="240" w:lineRule="auto"/>
        <w:contextualSpacing w:val="0"/>
        <w:jc w:val="both"/>
        <w:rPr>
          <w:rFonts w:ascii="Arial" w:hAnsi="Arial" w:cs="Arial"/>
          <w:sz w:val="20"/>
          <w:szCs w:val="20"/>
        </w:rPr>
      </w:pPr>
    </w:p>
    <w:p w14:paraId="2EC4C40A" w14:textId="77777777" w:rsidR="003B21C9" w:rsidRPr="001A399A" w:rsidRDefault="003B21C9" w:rsidP="001A399A">
      <w:pPr>
        <w:pStyle w:val="Prrafodelista"/>
        <w:spacing w:after="0" w:line="240" w:lineRule="auto"/>
        <w:contextualSpacing w:val="0"/>
        <w:jc w:val="both"/>
        <w:rPr>
          <w:rFonts w:ascii="Arial" w:hAnsi="Arial" w:cs="Arial"/>
          <w:sz w:val="20"/>
          <w:szCs w:val="20"/>
        </w:rPr>
      </w:pPr>
    </w:p>
    <w:p w14:paraId="752E38B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31A1A95A" w14:textId="77777777" w:rsidR="003B21C9" w:rsidRDefault="003B21C9" w:rsidP="001A399A">
      <w:pPr>
        <w:tabs>
          <w:tab w:val="left" w:leader="underscore" w:pos="9639"/>
        </w:tabs>
        <w:spacing w:after="0" w:line="240" w:lineRule="auto"/>
        <w:jc w:val="both"/>
        <w:rPr>
          <w:rFonts w:ascii="Arial" w:hAnsi="Arial" w:cs="Arial"/>
          <w:sz w:val="20"/>
          <w:szCs w:val="20"/>
        </w:rPr>
      </w:pPr>
    </w:p>
    <w:p w14:paraId="05ED1BCB" w14:textId="320980DF"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45E1402A"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37AF86AF" w14:textId="77777777" w:rsidR="00642FAC" w:rsidRPr="001A399A" w:rsidRDefault="00642FAC" w:rsidP="001A399A">
      <w:pPr>
        <w:pStyle w:val="Prrafodelista"/>
        <w:numPr>
          <w:ilvl w:val="0"/>
          <w:numId w:val="1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La normatividad emitida por las unidades administrativas o instancias competentes en materia de Contabilidad Gubernamental.</w:t>
      </w:r>
    </w:p>
    <w:p w14:paraId="63CEBBDE" w14:textId="77777777" w:rsidR="00642FAC" w:rsidRPr="001A399A" w:rsidRDefault="00642FAC" w:rsidP="001A399A">
      <w:pPr>
        <w:pStyle w:val="Prrafodelista"/>
        <w:numPr>
          <w:ilvl w:val="0"/>
          <w:numId w:val="1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Las Normas Internacionales de Contabilidad para el Sector Público, emitidas por la Junta de Normas Internacionales del Sector Público.</w:t>
      </w:r>
    </w:p>
    <w:p w14:paraId="0D0A1AC1" w14:textId="77777777" w:rsidR="00642FAC" w:rsidRDefault="00642FAC" w:rsidP="001A399A">
      <w:pPr>
        <w:pStyle w:val="Prrafodelista"/>
        <w:numPr>
          <w:ilvl w:val="0"/>
          <w:numId w:val="16"/>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Las Normas de Información Financiera, emitidas por el Consejo Mexicano de Normas de Información Financiera.</w:t>
      </w:r>
    </w:p>
    <w:p w14:paraId="7F7CD78E" w14:textId="77777777" w:rsidR="001A145C" w:rsidRPr="001A399A" w:rsidRDefault="001A145C" w:rsidP="001A145C">
      <w:pPr>
        <w:pStyle w:val="Prrafodelista"/>
        <w:tabs>
          <w:tab w:val="left" w:leader="underscore" w:pos="9639"/>
        </w:tabs>
        <w:spacing w:after="0" w:line="240" w:lineRule="auto"/>
        <w:ind w:left="1068"/>
        <w:contextualSpacing w:val="0"/>
        <w:jc w:val="both"/>
        <w:rPr>
          <w:rFonts w:ascii="Arial" w:hAnsi="Arial" w:cs="Arial"/>
          <w:sz w:val="20"/>
          <w:szCs w:val="20"/>
        </w:rPr>
      </w:pPr>
    </w:p>
    <w:p w14:paraId="690AC136"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3EA0A3A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lastRenderedPageBreak/>
        <w:t>Hasta la emisión de estos estados financieros la Universidad a observado la normativa emitida por el Consejo Nacional de Armonización Contable sin la aplicación de las normas supletorias señaladas anteriormente.</w:t>
      </w:r>
    </w:p>
    <w:p w14:paraId="33B39AEF" w14:textId="77777777" w:rsidR="00642FAC" w:rsidRDefault="00642FAC" w:rsidP="001A399A">
      <w:pPr>
        <w:tabs>
          <w:tab w:val="left" w:leader="underscore" w:pos="9639"/>
        </w:tabs>
        <w:spacing w:after="0" w:line="240" w:lineRule="auto"/>
        <w:jc w:val="both"/>
        <w:rPr>
          <w:rFonts w:ascii="Arial" w:hAnsi="Arial" w:cs="Arial"/>
          <w:b/>
          <w:sz w:val="20"/>
          <w:szCs w:val="20"/>
        </w:rPr>
      </w:pPr>
    </w:p>
    <w:p w14:paraId="77A4E235" w14:textId="77777777" w:rsidR="003B21C9" w:rsidRPr="001A399A" w:rsidRDefault="003B21C9" w:rsidP="001A399A">
      <w:pPr>
        <w:tabs>
          <w:tab w:val="left" w:leader="underscore" w:pos="9639"/>
        </w:tabs>
        <w:spacing w:after="0" w:line="240" w:lineRule="auto"/>
        <w:jc w:val="both"/>
        <w:rPr>
          <w:rFonts w:ascii="Arial" w:hAnsi="Arial" w:cs="Arial"/>
          <w:b/>
          <w:sz w:val="20"/>
          <w:szCs w:val="20"/>
        </w:rPr>
      </w:pPr>
    </w:p>
    <w:p w14:paraId="0C4B851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e)</w:t>
      </w:r>
      <w:r w:rsidRPr="001A399A">
        <w:rPr>
          <w:rFonts w:ascii="Arial" w:hAnsi="Arial" w:cs="Arial"/>
          <w:sz w:val="20"/>
          <w:szCs w:val="20"/>
        </w:rPr>
        <w:t xml:space="preserve"> Para las entidades que por primera vez estén implementando la base de devengado de acuerdo a la Ley de Contabilidad, deberán:</w:t>
      </w:r>
    </w:p>
    <w:p w14:paraId="5348C1DC" w14:textId="77777777" w:rsidR="003B21C9" w:rsidRPr="001A399A" w:rsidRDefault="003B21C9" w:rsidP="001A399A">
      <w:pPr>
        <w:spacing w:after="0" w:line="240" w:lineRule="auto"/>
        <w:jc w:val="both"/>
        <w:rPr>
          <w:rFonts w:ascii="Arial" w:hAnsi="Arial" w:cs="Arial"/>
          <w:sz w:val="20"/>
          <w:szCs w:val="20"/>
        </w:rPr>
      </w:pPr>
    </w:p>
    <w:p w14:paraId="540DC4CA" w14:textId="77777777" w:rsidR="00642FAC" w:rsidRPr="001A399A" w:rsidRDefault="00642FAC" w:rsidP="001A399A">
      <w:pPr>
        <w:numPr>
          <w:ilvl w:val="0"/>
          <w:numId w:val="6"/>
        </w:numPr>
        <w:spacing w:after="0" w:line="240" w:lineRule="auto"/>
        <w:jc w:val="both"/>
        <w:rPr>
          <w:rFonts w:ascii="Arial" w:hAnsi="Arial" w:cs="Arial"/>
          <w:sz w:val="20"/>
          <w:szCs w:val="20"/>
        </w:rPr>
      </w:pPr>
      <w:r w:rsidRPr="001A399A">
        <w:rPr>
          <w:rFonts w:ascii="Arial" w:hAnsi="Arial" w:cs="Arial"/>
          <w:sz w:val="20"/>
          <w:szCs w:val="20"/>
        </w:rPr>
        <w:t>Ingresos: Se registra cuando jurídicamente se tiene el derecho de cobro de los servicios prestados por la Universidad.</w:t>
      </w:r>
    </w:p>
    <w:p w14:paraId="2F436B0D" w14:textId="77777777" w:rsidR="00642FAC" w:rsidRDefault="00642FAC" w:rsidP="001A399A">
      <w:pPr>
        <w:numPr>
          <w:ilvl w:val="0"/>
          <w:numId w:val="6"/>
        </w:numPr>
        <w:spacing w:after="0" w:line="240" w:lineRule="auto"/>
        <w:jc w:val="both"/>
        <w:rPr>
          <w:rFonts w:ascii="Arial" w:hAnsi="Arial" w:cs="Arial"/>
          <w:sz w:val="20"/>
          <w:szCs w:val="20"/>
        </w:rPr>
      </w:pPr>
      <w:r w:rsidRPr="001A399A">
        <w:rPr>
          <w:rFonts w:ascii="Arial" w:hAnsi="Arial" w:cs="Arial"/>
          <w:sz w:val="20"/>
          <w:szCs w:val="20"/>
        </w:rPr>
        <w:t>Egresos: Se registra cuando se reconoce la obligación de pagos a favor de terceros.</w:t>
      </w:r>
    </w:p>
    <w:p w14:paraId="1E75982C" w14:textId="77777777" w:rsidR="003B21C9" w:rsidRPr="001A399A" w:rsidRDefault="003B21C9" w:rsidP="003B21C9">
      <w:pPr>
        <w:spacing w:after="0" w:line="240" w:lineRule="auto"/>
        <w:jc w:val="both"/>
        <w:rPr>
          <w:rFonts w:ascii="Arial" w:hAnsi="Arial" w:cs="Arial"/>
          <w:sz w:val="20"/>
          <w:szCs w:val="20"/>
        </w:rPr>
      </w:pPr>
    </w:p>
    <w:p w14:paraId="562082DC" w14:textId="70AE3AA3" w:rsidR="00642FAC" w:rsidRPr="003B21C9" w:rsidRDefault="00642FAC" w:rsidP="003B21C9">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realizaron ajustes al sistema contable y presupuestal, que permitan cumplir con las políticas que establece la LGCG.</w:t>
      </w:r>
    </w:p>
    <w:p w14:paraId="38490432"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4" w:name="_Toc161472870"/>
    </w:p>
    <w:p w14:paraId="6432B692" w14:textId="77777777" w:rsidR="00642FAC" w:rsidRPr="001A399A" w:rsidRDefault="00642FAC" w:rsidP="001A399A">
      <w:pPr>
        <w:spacing w:after="0" w:line="240" w:lineRule="auto"/>
        <w:rPr>
          <w:rFonts w:ascii="Arial" w:hAnsi="Arial" w:cs="Arial"/>
          <w:sz w:val="20"/>
          <w:szCs w:val="20"/>
        </w:rPr>
      </w:pPr>
    </w:p>
    <w:p w14:paraId="0892F907" w14:textId="77777777" w:rsidR="00642FAC" w:rsidRPr="001A399A" w:rsidRDefault="00642FAC" w:rsidP="001A399A">
      <w:pPr>
        <w:pStyle w:val="Ttulo2"/>
        <w:spacing w:before="0" w:line="240" w:lineRule="auto"/>
        <w:jc w:val="both"/>
        <w:rPr>
          <w:rFonts w:ascii="Arial" w:hAnsi="Arial" w:cs="Arial"/>
          <w:b/>
          <w:sz w:val="20"/>
          <w:szCs w:val="20"/>
        </w:rPr>
      </w:pPr>
      <w:r w:rsidRPr="001A399A">
        <w:rPr>
          <w:rFonts w:ascii="Arial" w:hAnsi="Arial" w:cs="Arial"/>
          <w:b/>
          <w:color w:val="auto"/>
          <w:sz w:val="20"/>
          <w:szCs w:val="20"/>
        </w:rPr>
        <w:t>5. Políticas de Contabilidad Significativas:</w:t>
      </w:r>
      <w:bookmarkEnd w:id="4"/>
    </w:p>
    <w:p w14:paraId="096829E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informará sobre:</w:t>
      </w:r>
    </w:p>
    <w:p w14:paraId="6264C184"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0ED0A6FC"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Actualización: </w:t>
      </w:r>
    </w:p>
    <w:p w14:paraId="71225C4D" w14:textId="77777777" w:rsidR="003B21C9" w:rsidRPr="001A399A" w:rsidRDefault="003B21C9" w:rsidP="001A399A">
      <w:pPr>
        <w:spacing w:after="0" w:line="240" w:lineRule="auto"/>
        <w:jc w:val="both"/>
        <w:rPr>
          <w:rFonts w:ascii="Arial" w:hAnsi="Arial" w:cs="Arial"/>
          <w:sz w:val="20"/>
          <w:szCs w:val="20"/>
        </w:rPr>
      </w:pPr>
    </w:p>
    <w:p w14:paraId="6D844311" w14:textId="79830775" w:rsidR="003B21C9"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 xml:space="preserve">De conformidad con las Reglas de Registro y Valuación del Patrimonio 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59E7DF4D"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7B52725E" w14:textId="77777777" w:rsidR="00642FAC" w:rsidRDefault="00642FAC" w:rsidP="001A399A">
      <w:pPr>
        <w:spacing w:after="0" w:line="240" w:lineRule="auto"/>
        <w:jc w:val="both"/>
        <w:rPr>
          <w:rFonts w:ascii="Arial" w:hAnsi="Arial" w:cs="Arial"/>
          <w:sz w:val="20"/>
          <w:szCs w:val="20"/>
        </w:rPr>
      </w:pPr>
      <w:r w:rsidRPr="001A399A">
        <w:rPr>
          <w:rFonts w:ascii="Arial" w:hAnsi="Arial" w:cs="Arial"/>
          <w:sz w:val="20"/>
          <w:szCs w:val="20"/>
        </w:rPr>
        <w:t>Durante los últimos tres ejercicios al 31 de diciembre de 2025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5C24455C" w14:textId="77777777" w:rsidR="003B21C9" w:rsidRPr="001A399A" w:rsidRDefault="003B21C9" w:rsidP="001A399A">
      <w:pPr>
        <w:spacing w:after="0" w:line="240" w:lineRule="auto"/>
        <w:jc w:val="both"/>
        <w:rPr>
          <w:rFonts w:ascii="Arial" w:hAnsi="Arial" w:cs="Arial"/>
          <w:sz w:val="20"/>
          <w:szCs w:val="20"/>
        </w:rPr>
      </w:pPr>
    </w:p>
    <w:p w14:paraId="3D677D53"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38EA07A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3B21C9">
        <w:rPr>
          <w:rFonts w:ascii="Arial" w:hAnsi="Arial" w:cs="Arial"/>
          <w:b/>
          <w:bCs/>
          <w:sz w:val="20"/>
          <w:szCs w:val="20"/>
        </w:rPr>
        <w:t>b)</w:t>
      </w:r>
      <w:r w:rsidRPr="001A399A">
        <w:rPr>
          <w:rFonts w:ascii="Arial" w:hAnsi="Arial" w:cs="Arial"/>
          <w:sz w:val="20"/>
          <w:szCs w:val="20"/>
        </w:rPr>
        <w:t xml:space="preserve"> Informar sobre la realización de operaciones en el extranjero y de sus efectos en la información financiera gubernamental:</w:t>
      </w:r>
    </w:p>
    <w:p w14:paraId="13EAF5A6"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3A2C203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49DD7F5A" w14:textId="77777777" w:rsidR="00642FAC" w:rsidRDefault="00642FAC" w:rsidP="001A399A">
      <w:pPr>
        <w:tabs>
          <w:tab w:val="left" w:leader="underscore" w:pos="9639"/>
        </w:tabs>
        <w:spacing w:after="0" w:line="240" w:lineRule="auto"/>
        <w:jc w:val="both"/>
        <w:rPr>
          <w:rFonts w:ascii="Arial" w:hAnsi="Arial" w:cs="Arial"/>
          <w:sz w:val="20"/>
          <w:szCs w:val="20"/>
        </w:rPr>
      </w:pPr>
    </w:p>
    <w:p w14:paraId="7140AB5A"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516B8C9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c)</w:t>
      </w:r>
      <w:r w:rsidRPr="001A399A">
        <w:rPr>
          <w:rFonts w:ascii="Arial" w:hAnsi="Arial" w:cs="Arial"/>
          <w:sz w:val="20"/>
          <w:szCs w:val="20"/>
        </w:rPr>
        <w:t xml:space="preserve"> Método de valuación de la inversión en acciones de Compañías subsidiarias no consolidadas y asociadas:</w:t>
      </w:r>
    </w:p>
    <w:p w14:paraId="6DD5C8B7" w14:textId="77777777" w:rsidR="003B21C9" w:rsidRPr="001A399A" w:rsidRDefault="003B21C9" w:rsidP="001A399A">
      <w:pPr>
        <w:spacing w:after="0" w:line="240" w:lineRule="auto"/>
        <w:jc w:val="both"/>
        <w:rPr>
          <w:rFonts w:ascii="Arial" w:hAnsi="Arial" w:cs="Arial"/>
          <w:sz w:val="20"/>
          <w:szCs w:val="20"/>
        </w:rPr>
      </w:pPr>
    </w:p>
    <w:p w14:paraId="60052EA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41DC36C7" w14:textId="77777777" w:rsidR="00642FAC"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La Universidad ha reconocido la actualización de su participación en las empresas asociadas durante el ejercicio 2025 tomando como base la última información financiera disponible que para ello entregaron dichas empresas. </w:t>
      </w:r>
    </w:p>
    <w:p w14:paraId="382E5645" w14:textId="77777777" w:rsidR="00642FAC" w:rsidRPr="001A399A" w:rsidRDefault="00642FAC" w:rsidP="001A399A">
      <w:pPr>
        <w:tabs>
          <w:tab w:val="left" w:leader="underscore" w:pos="9639"/>
        </w:tabs>
        <w:spacing w:after="0" w:line="240" w:lineRule="auto"/>
        <w:jc w:val="both"/>
        <w:rPr>
          <w:rFonts w:ascii="Arial" w:hAnsi="Arial" w:cs="Arial"/>
          <w:b/>
          <w:sz w:val="20"/>
          <w:szCs w:val="20"/>
        </w:rPr>
      </w:pPr>
    </w:p>
    <w:p w14:paraId="64B0771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Sistema y método de valuación de inventarios y costo de lo vendido:</w:t>
      </w:r>
    </w:p>
    <w:p w14:paraId="082B739D"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614FFF1C"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Los inventarios que se presentan en el estado de situación financiera son mediante el método Primeras entradas, primeras salidas “PEPS”, mediante el cual se considera que lo que sale del almacén es lo que primero entró al almacén, por lo que el Inventario queda valuado a los precios de las últimas adquisiciones.</w:t>
      </w:r>
    </w:p>
    <w:p w14:paraId="54FACC3B" w14:textId="77777777" w:rsidR="00642FAC" w:rsidRDefault="00642FAC" w:rsidP="001A399A">
      <w:pPr>
        <w:spacing w:after="0" w:line="240" w:lineRule="auto"/>
        <w:jc w:val="both"/>
        <w:rPr>
          <w:rFonts w:ascii="Arial" w:hAnsi="Arial" w:cs="Arial"/>
          <w:sz w:val="20"/>
          <w:szCs w:val="20"/>
        </w:rPr>
      </w:pPr>
    </w:p>
    <w:p w14:paraId="2417A2AF" w14:textId="77777777" w:rsidR="003B21C9" w:rsidRPr="001A399A" w:rsidRDefault="003B21C9" w:rsidP="001A399A">
      <w:pPr>
        <w:spacing w:after="0" w:line="240" w:lineRule="auto"/>
        <w:jc w:val="both"/>
        <w:rPr>
          <w:rFonts w:ascii="Arial" w:hAnsi="Arial" w:cs="Arial"/>
          <w:sz w:val="20"/>
          <w:szCs w:val="20"/>
        </w:rPr>
      </w:pPr>
    </w:p>
    <w:p w14:paraId="435F7E97" w14:textId="7685BEAC"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bCs/>
          <w:sz w:val="20"/>
          <w:szCs w:val="20"/>
        </w:rPr>
        <w:t>e)</w:t>
      </w:r>
      <w:r w:rsidRPr="001A399A">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6A9C8072"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41882DBD"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de Guanajuato opera distintos planes al retiro, incluyendo el de beneficios y contribuciones definidos, así como planes médicos al retiro. (Ver Nota 30)</w:t>
      </w:r>
    </w:p>
    <w:p w14:paraId="2B880076" w14:textId="77777777" w:rsidR="003B21C9" w:rsidRPr="001A399A" w:rsidRDefault="003B21C9" w:rsidP="001A399A">
      <w:pPr>
        <w:tabs>
          <w:tab w:val="left" w:leader="underscore" w:pos="9639"/>
        </w:tabs>
        <w:spacing w:after="0" w:line="240" w:lineRule="auto"/>
        <w:jc w:val="both"/>
        <w:rPr>
          <w:rFonts w:ascii="Arial" w:hAnsi="Arial" w:cs="Arial"/>
          <w:sz w:val="20"/>
          <w:szCs w:val="20"/>
        </w:rPr>
      </w:pPr>
    </w:p>
    <w:p w14:paraId="24CA1C4C" w14:textId="77777777" w:rsidR="00642FAC" w:rsidRPr="001A399A" w:rsidRDefault="00642FAC" w:rsidP="001A399A">
      <w:pPr>
        <w:tabs>
          <w:tab w:val="left" w:leader="underscore" w:pos="9639"/>
        </w:tabs>
        <w:spacing w:after="0" w:line="240" w:lineRule="auto"/>
        <w:jc w:val="both"/>
        <w:rPr>
          <w:rFonts w:ascii="Arial" w:hAnsi="Arial" w:cs="Arial"/>
          <w:sz w:val="20"/>
          <w:szCs w:val="20"/>
          <w:u w:val="single"/>
        </w:rPr>
      </w:pPr>
      <w:r w:rsidRPr="001A399A">
        <w:rPr>
          <w:rFonts w:ascii="Arial" w:hAnsi="Arial" w:cs="Arial"/>
          <w:sz w:val="20"/>
          <w:szCs w:val="20"/>
          <w:u w:val="single"/>
        </w:rPr>
        <w:t xml:space="preserve">Personal administrativo </w:t>
      </w:r>
    </w:p>
    <w:p w14:paraId="78AC4BC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4E3E5AB" w14:textId="77777777" w:rsidR="00642FAC" w:rsidRPr="001A399A" w:rsidRDefault="00642FAC" w:rsidP="001A399A">
      <w:pPr>
        <w:pStyle w:val="Prrafodelista"/>
        <w:numPr>
          <w:ilvl w:val="0"/>
          <w:numId w:val="20"/>
        </w:numPr>
        <w:spacing w:after="0" w:line="240" w:lineRule="auto"/>
        <w:contextualSpacing w:val="0"/>
        <w:jc w:val="both"/>
        <w:rPr>
          <w:rFonts w:ascii="Arial" w:hAnsi="Arial" w:cs="Arial"/>
          <w:sz w:val="20"/>
          <w:szCs w:val="20"/>
        </w:rPr>
      </w:pPr>
      <w:r w:rsidRPr="001A399A">
        <w:rPr>
          <w:rFonts w:ascii="Arial" w:hAnsi="Arial" w:cs="Arial"/>
          <w:i/>
          <w:iCs/>
          <w:sz w:val="20"/>
          <w:szCs w:val="20"/>
        </w:rPr>
        <w:t>Primas de antigüedad -</w:t>
      </w:r>
      <w:r w:rsidRPr="001A399A">
        <w:rPr>
          <w:rFonts w:ascii="Arial" w:hAnsi="Arial" w:cs="Arial"/>
          <w:sz w:val="20"/>
          <w:szCs w:val="20"/>
        </w:rPr>
        <w:t xml:space="preserve"> De conformidad con el contrato colectivo de trabajo, esta prima se pagará mensualmente a partir de que el empleado cumpla 5 años de servicio. Para el personal administrativo la prima será de 7.5% adicional al sueldo por año trabajado hasta llegar al 50%. Las erogaciones por primas de antigüedad se registran en los egresos del ejercicio en que se pagan. </w:t>
      </w:r>
    </w:p>
    <w:p w14:paraId="35EE729D" w14:textId="77777777" w:rsidR="00642FAC" w:rsidRPr="001A399A" w:rsidRDefault="00642FAC" w:rsidP="001A399A">
      <w:pPr>
        <w:spacing w:after="0" w:line="240" w:lineRule="auto"/>
        <w:jc w:val="both"/>
        <w:rPr>
          <w:rFonts w:ascii="Arial" w:hAnsi="Arial" w:cs="Arial"/>
          <w:sz w:val="20"/>
          <w:szCs w:val="20"/>
        </w:rPr>
      </w:pPr>
    </w:p>
    <w:p w14:paraId="17AFD24B" w14:textId="77777777" w:rsidR="00642FAC" w:rsidRPr="001A399A" w:rsidRDefault="00642FAC" w:rsidP="001A399A">
      <w:pPr>
        <w:pStyle w:val="Prrafodelista"/>
        <w:numPr>
          <w:ilvl w:val="0"/>
          <w:numId w:val="20"/>
        </w:numPr>
        <w:spacing w:after="0" w:line="240" w:lineRule="auto"/>
        <w:contextualSpacing w:val="0"/>
        <w:jc w:val="both"/>
        <w:rPr>
          <w:rFonts w:ascii="Arial" w:hAnsi="Arial" w:cs="Arial"/>
          <w:sz w:val="20"/>
          <w:szCs w:val="20"/>
        </w:rPr>
      </w:pPr>
      <w:r w:rsidRPr="001A399A">
        <w:rPr>
          <w:rFonts w:ascii="Arial" w:hAnsi="Arial" w:cs="Arial"/>
          <w:i/>
          <w:iCs/>
          <w:sz w:val="20"/>
          <w:szCs w:val="20"/>
        </w:rPr>
        <w:t>Primas de separación -</w:t>
      </w:r>
      <w:r w:rsidRPr="001A399A">
        <w:rPr>
          <w:rFonts w:ascii="Arial" w:hAnsi="Arial" w:cs="Arial"/>
          <w:sz w:val="20"/>
          <w:szCs w:val="20"/>
        </w:rPr>
        <w:t xml:space="preserve"> De conformidad con los contratos colectivos en vigor, al momento de separarse voluntariamente o por despido, a los empleados se les paga una prima de separación, la cual fluctúa entre 12 y 20 días del último salario devengado por año trabajado, dependiendo de la antigüedad del empleado, las cuales se registran en los egresos del año en que se pagan.</w:t>
      </w:r>
    </w:p>
    <w:p w14:paraId="4F23583E" w14:textId="77777777" w:rsidR="00642FAC" w:rsidRPr="001A399A" w:rsidRDefault="00642FAC" w:rsidP="001A399A">
      <w:pPr>
        <w:spacing w:after="0" w:line="240" w:lineRule="auto"/>
        <w:jc w:val="both"/>
        <w:rPr>
          <w:rFonts w:ascii="Arial" w:hAnsi="Arial" w:cs="Arial"/>
          <w:sz w:val="20"/>
          <w:szCs w:val="20"/>
        </w:rPr>
      </w:pPr>
    </w:p>
    <w:p w14:paraId="19FD29ED" w14:textId="77777777" w:rsidR="00642FAC" w:rsidRPr="001A399A" w:rsidRDefault="00642FAC" w:rsidP="001A399A">
      <w:pPr>
        <w:pStyle w:val="Prrafodelista"/>
        <w:numPr>
          <w:ilvl w:val="0"/>
          <w:numId w:val="20"/>
        </w:numPr>
        <w:spacing w:after="0" w:line="240" w:lineRule="auto"/>
        <w:contextualSpacing w:val="0"/>
        <w:jc w:val="both"/>
        <w:rPr>
          <w:rFonts w:ascii="Arial" w:hAnsi="Arial" w:cs="Arial"/>
          <w:sz w:val="20"/>
          <w:szCs w:val="20"/>
        </w:rPr>
      </w:pPr>
      <w:r w:rsidRPr="001A399A">
        <w:rPr>
          <w:rFonts w:ascii="Arial" w:hAnsi="Arial" w:cs="Arial"/>
          <w:i/>
          <w:iCs/>
          <w:sz w:val="20"/>
          <w:szCs w:val="20"/>
        </w:rPr>
        <w:t>Indemnizaciones al personal -</w:t>
      </w:r>
      <w:r w:rsidRPr="001A399A">
        <w:rPr>
          <w:rFonts w:ascii="Arial" w:hAnsi="Arial" w:cs="Arial"/>
          <w:sz w:val="20"/>
          <w:szCs w:val="20"/>
        </w:rPr>
        <w:t xml:space="preserve"> De conformidad con la Ley Federal del Trabajo, los trabajadores tienen derecho a una indemnización en caso de despido injustificado, las erogaciones por este concepto se registran en los egresos del año en que se pagan.</w:t>
      </w:r>
    </w:p>
    <w:p w14:paraId="203E360D" w14:textId="77777777" w:rsidR="00642FAC" w:rsidRPr="001A399A" w:rsidRDefault="00642FAC" w:rsidP="001A399A">
      <w:pPr>
        <w:spacing w:after="0" w:line="240" w:lineRule="auto"/>
        <w:jc w:val="both"/>
        <w:rPr>
          <w:rFonts w:ascii="Arial" w:hAnsi="Arial" w:cs="Arial"/>
          <w:sz w:val="20"/>
          <w:szCs w:val="20"/>
        </w:rPr>
      </w:pPr>
    </w:p>
    <w:p w14:paraId="0DAC591B" w14:textId="77777777" w:rsidR="00642FAC" w:rsidRPr="001A399A" w:rsidRDefault="00642FAC" w:rsidP="001A399A">
      <w:pPr>
        <w:pStyle w:val="Prrafodelista"/>
        <w:numPr>
          <w:ilvl w:val="0"/>
          <w:numId w:val="20"/>
        </w:numPr>
        <w:spacing w:after="0" w:line="240" w:lineRule="auto"/>
        <w:contextualSpacing w:val="0"/>
        <w:jc w:val="both"/>
        <w:rPr>
          <w:rFonts w:ascii="Arial" w:hAnsi="Arial" w:cs="Arial"/>
          <w:sz w:val="20"/>
          <w:szCs w:val="20"/>
        </w:rPr>
      </w:pPr>
      <w:r w:rsidRPr="001A399A">
        <w:rPr>
          <w:rFonts w:ascii="Arial" w:hAnsi="Arial" w:cs="Arial"/>
          <w:i/>
          <w:iCs/>
          <w:sz w:val="20"/>
          <w:szCs w:val="20"/>
        </w:rPr>
        <w:t>Remuneraciones y prestaciones a jubilados y pensionados</w:t>
      </w:r>
      <w:r w:rsidRPr="001A399A">
        <w:rPr>
          <w:rFonts w:ascii="Arial" w:hAnsi="Arial" w:cs="Arial"/>
          <w:sz w:val="20"/>
          <w:szCs w:val="20"/>
        </w:rPr>
        <w:t xml:space="preserve"> - </w:t>
      </w:r>
    </w:p>
    <w:p w14:paraId="27E3261E" w14:textId="77777777" w:rsidR="00642FAC" w:rsidRPr="001A399A" w:rsidRDefault="00642FAC" w:rsidP="001A399A">
      <w:pPr>
        <w:spacing w:after="0" w:line="240" w:lineRule="auto"/>
        <w:jc w:val="both"/>
        <w:rPr>
          <w:rFonts w:ascii="Arial" w:hAnsi="Arial" w:cs="Arial"/>
          <w:sz w:val="20"/>
          <w:szCs w:val="20"/>
        </w:rPr>
      </w:pPr>
    </w:p>
    <w:p w14:paraId="503A2769" w14:textId="77777777" w:rsidR="00642FAC" w:rsidRPr="001A399A" w:rsidRDefault="00642FAC" w:rsidP="001A399A">
      <w:pPr>
        <w:pStyle w:val="Prrafodelista"/>
        <w:numPr>
          <w:ilvl w:val="0"/>
          <w:numId w:val="21"/>
        </w:numPr>
        <w:spacing w:after="0" w:line="240" w:lineRule="auto"/>
        <w:contextualSpacing w:val="0"/>
        <w:jc w:val="both"/>
        <w:rPr>
          <w:rFonts w:ascii="Arial" w:hAnsi="Arial" w:cs="Arial"/>
          <w:sz w:val="20"/>
          <w:szCs w:val="20"/>
        </w:rPr>
      </w:pPr>
      <w:r w:rsidRPr="001A399A">
        <w:rPr>
          <w:rFonts w:ascii="Arial" w:hAnsi="Arial" w:cs="Arial"/>
          <w:sz w:val="20"/>
          <w:szCs w:val="20"/>
        </w:rPr>
        <w:t>Proporción de jubilación y pensión a cargo del Instituto de Seguridad Social del Estado de Guanajuato</w:t>
      </w:r>
    </w:p>
    <w:p w14:paraId="6206D12B" w14:textId="77777777" w:rsidR="00642FAC" w:rsidRPr="001A399A" w:rsidRDefault="00642FAC" w:rsidP="001A399A">
      <w:pPr>
        <w:spacing w:after="0" w:line="240" w:lineRule="auto"/>
        <w:jc w:val="both"/>
        <w:rPr>
          <w:rFonts w:ascii="Arial" w:hAnsi="Arial" w:cs="Arial"/>
          <w:sz w:val="20"/>
          <w:szCs w:val="20"/>
        </w:rPr>
      </w:pPr>
    </w:p>
    <w:p w14:paraId="3A933949" w14:textId="77777777" w:rsidR="00642FAC" w:rsidRPr="001A399A" w:rsidRDefault="00642FAC" w:rsidP="001A399A">
      <w:pPr>
        <w:pStyle w:val="Prrafodelista"/>
        <w:numPr>
          <w:ilvl w:val="0"/>
          <w:numId w:val="22"/>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jubilación: </w:t>
      </w:r>
    </w:p>
    <w:p w14:paraId="3D09771E" w14:textId="77777777" w:rsidR="00642FAC" w:rsidRPr="001A399A" w:rsidRDefault="00642FAC" w:rsidP="001A399A">
      <w:pPr>
        <w:spacing w:after="0" w:line="240" w:lineRule="auto"/>
        <w:jc w:val="both"/>
        <w:rPr>
          <w:rFonts w:ascii="Arial" w:hAnsi="Arial" w:cs="Arial"/>
          <w:sz w:val="20"/>
          <w:szCs w:val="20"/>
        </w:rPr>
      </w:pPr>
    </w:p>
    <w:p w14:paraId="2F2B8C52"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conformidad con la Ley de Seguridad Social del Estado de Guanajuato, para cuya observancia se constituyó el Instituto de Seguridad Social del Estado de Guanajuato, los asegurados que habiendo cumplido 65 años de edad y que hubieran cotizado, cuando menos 28 años para mujeres y 30 años para varones, tendrán derecho a una pensión por jubilación </w:t>
      </w:r>
    </w:p>
    <w:p w14:paraId="34B2F823" w14:textId="77777777" w:rsidR="00642FAC" w:rsidRPr="001A399A" w:rsidRDefault="00642FAC" w:rsidP="001A399A">
      <w:pPr>
        <w:spacing w:after="0" w:line="240" w:lineRule="auto"/>
        <w:jc w:val="both"/>
        <w:rPr>
          <w:rFonts w:ascii="Arial" w:hAnsi="Arial" w:cs="Arial"/>
          <w:sz w:val="20"/>
          <w:szCs w:val="20"/>
        </w:rPr>
      </w:pPr>
    </w:p>
    <w:p w14:paraId="50E62218" w14:textId="77777777" w:rsidR="00642FAC" w:rsidRPr="001A399A" w:rsidRDefault="00642FAC" w:rsidP="001A399A">
      <w:pPr>
        <w:pStyle w:val="Prrafodelista"/>
        <w:numPr>
          <w:ilvl w:val="0"/>
          <w:numId w:val="22"/>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vejez: </w:t>
      </w:r>
    </w:p>
    <w:p w14:paraId="27B6C238" w14:textId="77777777" w:rsidR="00642FAC" w:rsidRPr="001A399A" w:rsidRDefault="00642FAC" w:rsidP="001A399A">
      <w:pPr>
        <w:spacing w:after="0" w:line="240" w:lineRule="auto"/>
        <w:jc w:val="both"/>
        <w:rPr>
          <w:rFonts w:ascii="Arial" w:hAnsi="Arial" w:cs="Arial"/>
          <w:sz w:val="20"/>
          <w:szCs w:val="20"/>
        </w:rPr>
      </w:pPr>
    </w:p>
    <w:p w14:paraId="2945AD78"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conformidad con la Ley de Seguridad Social del Estado de Guanajuato, para cuya observancia se constituyó el Instituto de Seguridad Social del Estado de Guanajuato, los asegurados que habiendo cumplido 65 años de edad y que hubieran cotizado cuando menos durante 15 años, tendrán derecho a una pensión por vejez. </w:t>
      </w:r>
    </w:p>
    <w:p w14:paraId="711CA73D" w14:textId="77777777" w:rsidR="00642FAC" w:rsidRPr="001A399A" w:rsidRDefault="00642FAC" w:rsidP="001A399A">
      <w:pPr>
        <w:spacing w:after="0" w:line="240" w:lineRule="auto"/>
        <w:jc w:val="both"/>
        <w:rPr>
          <w:rFonts w:ascii="Arial" w:hAnsi="Arial" w:cs="Arial"/>
          <w:sz w:val="20"/>
          <w:szCs w:val="20"/>
        </w:rPr>
      </w:pPr>
    </w:p>
    <w:p w14:paraId="7348B669" w14:textId="77777777" w:rsidR="00642FAC" w:rsidRPr="001A399A" w:rsidRDefault="00642FAC" w:rsidP="001A399A">
      <w:pPr>
        <w:pStyle w:val="Prrafodelista"/>
        <w:numPr>
          <w:ilvl w:val="0"/>
          <w:numId w:val="22"/>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muerte: </w:t>
      </w:r>
    </w:p>
    <w:p w14:paraId="478ABFAC" w14:textId="77777777" w:rsidR="00642FAC" w:rsidRPr="001A399A" w:rsidRDefault="00642FAC" w:rsidP="001A399A">
      <w:pPr>
        <w:spacing w:after="0" w:line="240" w:lineRule="auto"/>
        <w:jc w:val="both"/>
        <w:rPr>
          <w:rFonts w:ascii="Arial" w:hAnsi="Arial" w:cs="Arial"/>
          <w:sz w:val="20"/>
          <w:szCs w:val="20"/>
        </w:rPr>
      </w:pPr>
    </w:p>
    <w:p w14:paraId="30E8081F"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conformidad con la Ley de Seguridad Social del Estado de Guanajuato, para cuya observancia se constituyó el Instituto de Seguridad Social del Estado de Guanajuato, los asegurados que hubieran cotizado cuando menos 15 años, tendrán derecho a una pensión por muerte. </w:t>
      </w:r>
    </w:p>
    <w:p w14:paraId="508C508C" w14:textId="77777777" w:rsidR="00642FAC" w:rsidRPr="001A399A" w:rsidRDefault="00642FAC" w:rsidP="001A399A">
      <w:pPr>
        <w:spacing w:after="0" w:line="240" w:lineRule="auto"/>
        <w:jc w:val="both"/>
        <w:rPr>
          <w:rFonts w:ascii="Arial" w:hAnsi="Arial" w:cs="Arial"/>
          <w:sz w:val="20"/>
          <w:szCs w:val="20"/>
        </w:rPr>
      </w:pPr>
    </w:p>
    <w:p w14:paraId="31FAE90C" w14:textId="77777777" w:rsidR="00642FAC" w:rsidRPr="001A399A" w:rsidRDefault="00642FAC" w:rsidP="001A399A">
      <w:pPr>
        <w:pStyle w:val="Prrafodelista"/>
        <w:numPr>
          <w:ilvl w:val="0"/>
          <w:numId w:val="22"/>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invalidez: </w:t>
      </w:r>
    </w:p>
    <w:p w14:paraId="01CB3134" w14:textId="77777777" w:rsidR="00642FAC" w:rsidRPr="001A399A" w:rsidRDefault="00642FAC" w:rsidP="001A399A">
      <w:pPr>
        <w:spacing w:after="0" w:line="240" w:lineRule="auto"/>
        <w:jc w:val="both"/>
        <w:rPr>
          <w:rFonts w:ascii="Arial" w:hAnsi="Arial" w:cs="Arial"/>
          <w:sz w:val="20"/>
          <w:szCs w:val="20"/>
        </w:rPr>
      </w:pPr>
    </w:p>
    <w:p w14:paraId="6B2B4213"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De conformidad con la Ley de Seguridad Social del Estado de Guanajuato, para cuya observancia se constituyó el Instituto de Seguridad Social del Estado de Guanajuato, los asegurados que habiendo cumplido 5 años de cotización, tendrán derecho a una pensión por invalidez.</w:t>
      </w:r>
    </w:p>
    <w:p w14:paraId="7592B6DB" w14:textId="77777777" w:rsidR="00642FAC" w:rsidRPr="001A399A" w:rsidRDefault="00642FAC" w:rsidP="001A399A">
      <w:pPr>
        <w:spacing w:after="0" w:line="240" w:lineRule="auto"/>
        <w:jc w:val="both"/>
        <w:rPr>
          <w:rFonts w:ascii="Arial" w:hAnsi="Arial" w:cs="Arial"/>
          <w:sz w:val="20"/>
          <w:szCs w:val="20"/>
        </w:rPr>
      </w:pPr>
    </w:p>
    <w:p w14:paraId="187DEC51" w14:textId="77777777" w:rsidR="00642FAC" w:rsidRPr="001A399A" w:rsidRDefault="00642FAC" w:rsidP="001A399A">
      <w:pPr>
        <w:pStyle w:val="Prrafodelista"/>
        <w:numPr>
          <w:ilvl w:val="0"/>
          <w:numId w:val="21"/>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Proporción de jubilación y pensión a cargo de la Universidad de Guanajuato: </w:t>
      </w:r>
    </w:p>
    <w:p w14:paraId="31DFA389" w14:textId="77777777" w:rsidR="00642FAC" w:rsidRPr="001A399A" w:rsidRDefault="00642FAC" w:rsidP="001A399A">
      <w:pPr>
        <w:spacing w:after="0" w:line="240" w:lineRule="auto"/>
        <w:jc w:val="both"/>
        <w:rPr>
          <w:rFonts w:ascii="Arial" w:hAnsi="Arial" w:cs="Arial"/>
          <w:sz w:val="20"/>
          <w:szCs w:val="20"/>
        </w:rPr>
      </w:pPr>
    </w:p>
    <w:p w14:paraId="6B919CE1" w14:textId="77777777" w:rsidR="00642FAC" w:rsidRPr="001A399A" w:rsidRDefault="00642FAC" w:rsidP="001A399A">
      <w:pPr>
        <w:pStyle w:val="Prrafodelista"/>
        <w:numPr>
          <w:ilvl w:val="0"/>
          <w:numId w:val="23"/>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Generación con derecho adquirido. </w:t>
      </w:r>
    </w:p>
    <w:p w14:paraId="4C3C42F9" w14:textId="77777777" w:rsidR="00642FAC" w:rsidRPr="001A399A" w:rsidRDefault="00642FAC" w:rsidP="001A399A">
      <w:pPr>
        <w:spacing w:after="0" w:line="240" w:lineRule="auto"/>
        <w:jc w:val="both"/>
        <w:rPr>
          <w:rFonts w:ascii="Arial" w:hAnsi="Arial" w:cs="Arial"/>
          <w:sz w:val="20"/>
          <w:szCs w:val="20"/>
        </w:rPr>
      </w:pPr>
    </w:p>
    <w:p w14:paraId="3EE21F34" w14:textId="77777777" w:rsidR="00642FAC" w:rsidRDefault="00642FAC" w:rsidP="001A399A">
      <w:pPr>
        <w:pStyle w:val="Prrafodelista"/>
        <w:spacing w:after="0" w:line="240" w:lineRule="auto"/>
        <w:ind w:left="0"/>
        <w:contextualSpacing w:val="0"/>
        <w:jc w:val="both"/>
        <w:rPr>
          <w:rFonts w:ascii="Arial" w:hAnsi="Arial" w:cs="Arial"/>
          <w:sz w:val="20"/>
          <w:szCs w:val="20"/>
        </w:rPr>
      </w:pPr>
      <w:r w:rsidRPr="001A399A">
        <w:rPr>
          <w:rFonts w:ascii="Arial" w:hAnsi="Arial" w:cs="Arial"/>
          <w:sz w:val="20"/>
          <w:szCs w:val="20"/>
        </w:rPr>
        <w:t>A los trabajadores que, al 31 de diciembre del año 2017, hayan adquirido el derecho a la pensión por retiro o vejez, la Universidad se obliga a cubrirles la diferencia entre la cantidad que, por seguro de retiro o la proporción por seguro de vejez, les fije el Instituto de Seguridad Social del Estado de Guanajuato y el salario más prestaciones devengados en el momento de pensionarse o el del puesto o categoría más alto ocupado en los 3 últimos años, según convenga al trabajador.</w:t>
      </w:r>
    </w:p>
    <w:p w14:paraId="0F40A715" w14:textId="77777777" w:rsidR="003B21C9" w:rsidRPr="001A399A" w:rsidRDefault="003B21C9" w:rsidP="001A399A">
      <w:pPr>
        <w:pStyle w:val="Prrafodelista"/>
        <w:spacing w:after="0" w:line="240" w:lineRule="auto"/>
        <w:ind w:left="0"/>
        <w:contextualSpacing w:val="0"/>
        <w:jc w:val="both"/>
        <w:rPr>
          <w:rFonts w:ascii="Arial" w:hAnsi="Arial" w:cs="Arial"/>
          <w:sz w:val="20"/>
          <w:szCs w:val="20"/>
        </w:rPr>
      </w:pPr>
    </w:p>
    <w:p w14:paraId="03D3D214" w14:textId="77777777" w:rsidR="00642FAC" w:rsidRPr="001A399A" w:rsidRDefault="00642FAC" w:rsidP="001A399A">
      <w:pPr>
        <w:pStyle w:val="Prrafodelista"/>
        <w:numPr>
          <w:ilvl w:val="0"/>
          <w:numId w:val="23"/>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Generación en transición. </w:t>
      </w:r>
    </w:p>
    <w:p w14:paraId="702F07FA" w14:textId="77777777" w:rsidR="00642FAC" w:rsidRPr="001A399A" w:rsidRDefault="00642FAC" w:rsidP="001A399A">
      <w:pPr>
        <w:spacing w:after="0" w:line="240" w:lineRule="auto"/>
        <w:jc w:val="both"/>
        <w:rPr>
          <w:rFonts w:ascii="Arial" w:hAnsi="Arial" w:cs="Arial"/>
          <w:sz w:val="20"/>
          <w:szCs w:val="20"/>
        </w:rPr>
      </w:pPr>
    </w:p>
    <w:p w14:paraId="5752034C" w14:textId="77777777" w:rsidR="00642FAC" w:rsidRPr="001A399A" w:rsidRDefault="00642FAC" w:rsidP="001A399A">
      <w:pPr>
        <w:pStyle w:val="Prrafodelista"/>
        <w:spacing w:after="0" w:line="240" w:lineRule="auto"/>
        <w:ind w:left="0"/>
        <w:contextualSpacing w:val="0"/>
        <w:jc w:val="both"/>
        <w:rPr>
          <w:rFonts w:ascii="Arial" w:hAnsi="Arial" w:cs="Arial"/>
          <w:sz w:val="20"/>
          <w:szCs w:val="20"/>
        </w:rPr>
      </w:pPr>
      <w:r w:rsidRPr="001A399A">
        <w:rPr>
          <w:rFonts w:ascii="Arial" w:hAnsi="Arial" w:cs="Arial"/>
          <w:sz w:val="20"/>
          <w:szCs w:val="20"/>
        </w:rPr>
        <w:t>Para el caso de los trabajadores que ingresaron a la Universidad de Guanajuato hasta el treinta y uno de diciembre del año 2017, se aplicará el complemento de pensión, sobre la diferencia entre la cantidad que el Instituto de Seguridad Social del Estado de Guanajuato determine como pensión por jubilación y el 100% del promedio ponderado de los salarios integrados de los últimos 3 años, actualizados conforme al tabulador o Indice Nacional de Precios al Consumidor, según convenga al trabajador.</w:t>
      </w:r>
    </w:p>
    <w:p w14:paraId="00554FA8" w14:textId="77777777" w:rsidR="00642FAC" w:rsidRPr="001A399A" w:rsidRDefault="00642FAC" w:rsidP="001A399A">
      <w:pPr>
        <w:spacing w:after="0" w:line="240" w:lineRule="auto"/>
        <w:jc w:val="both"/>
        <w:rPr>
          <w:rFonts w:ascii="Arial" w:hAnsi="Arial" w:cs="Arial"/>
          <w:sz w:val="20"/>
          <w:szCs w:val="20"/>
        </w:rPr>
      </w:pPr>
    </w:p>
    <w:p w14:paraId="63DD99B9" w14:textId="77777777" w:rsidR="00642FAC" w:rsidRPr="001A399A" w:rsidRDefault="00642FAC" w:rsidP="001A399A">
      <w:pPr>
        <w:pStyle w:val="Prrafodelista"/>
        <w:numPr>
          <w:ilvl w:val="0"/>
          <w:numId w:val="24"/>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Nuevas generaciones: </w:t>
      </w:r>
    </w:p>
    <w:p w14:paraId="475F492A" w14:textId="77777777" w:rsidR="00642FAC" w:rsidRPr="001A399A" w:rsidRDefault="00642FAC" w:rsidP="001A399A">
      <w:pPr>
        <w:spacing w:after="0" w:line="240" w:lineRule="auto"/>
        <w:jc w:val="both"/>
        <w:rPr>
          <w:rFonts w:ascii="Arial" w:hAnsi="Arial" w:cs="Arial"/>
          <w:sz w:val="20"/>
          <w:szCs w:val="20"/>
        </w:rPr>
      </w:pPr>
    </w:p>
    <w:p w14:paraId="2D86BB42" w14:textId="77777777" w:rsidR="00642FAC" w:rsidRPr="001A399A" w:rsidRDefault="00642FAC" w:rsidP="001A399A">
      <w:pPr>
        <w:pStyle w:val="Prrafodelista"/>
        <w:spacing w:after="0" w:line="240" w:lineRule="auto"/>
        <w:ind w:left="0"/>
        <w:contextualSpacing w:val="0"/>
        <w:jc w:val="both"/>
        <w:rPr>
          <w:rFonts w:ascii="Arial" w:hAnsi="Arial" w:cs="Arial"/>
          <w:sz w:val="20"/>
          <w:szCs w:val="20"/>
        </w:rPr>
      </w:pPr>
      <w:r w:rsidRPr="001A399A">
        <w:rPr>
          <w:rFonts w:ascii="Arial" w:hAnsi="Arial" w:cs="Arial"/>
          <w:sz w:val="20"/>
          <w:szCs w:val="20"/>
        </w:rPr>
        <w:t>Para el caso de pensión por jubilación, la Universidad de Guanajuato cubrirá al trabajador como complemento de pensión, la diferencia entre la cantidad que el Instituto de Seguridad Social del Estado de Guanajuato determine como pensión por jubilación y 93.5% del promedio ponderado de los salarios integrados de los últimos 5 años de servicio actualizado con el Indice Nacional de Precios al Consumidor.</w:t>
      </w:r>
    </w:p>
    <w:p w14:paraId="24CA9524" w14:textId="77777777" w:rsidR="00642FAC" w:rsidRPr="001A399A" w:rsidRDefault="00642FAC" w:rsidP="001A399A">
      <w:pPr>
        <w:spacing w:after="0" w:line="240" w:lineRule="auto"/>
        <w:jc w:val="both"/>
        <w:rPr>
          <w:rFonts w:ascii="Arial" w:hAnsi="Arial" w:cs="Arial"/>
          <w:sz w:val="20"/>
          <w:szCs w:val="20"/>
        </w:rPr>
      </w:pPr>
    </w:p>
    <w:p w14:paraId="0AC84878" w14:textId="77777777" w:rsidR="00642FAC" w:rsidRPr="001A399A" w:rsidRDefault="00642FAC" w:rsidP="001A399A">
      <w:pPr>
        <w:pStyle w:val="Prrafodelista"/>
        <w:numPr>
          <w:ilvl w:val="0"/>
          <w:numId w:val="24"/>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Complemento de pensión por fallecimiento: </w:t>
      </w:r>
    </w:p>
    <w:p w14:paraId="770EAD44" w14:textId="77777777" w:rsidR="003B21C9" w:rsidRDefault="003B21C9" w:rsidP="001A399A">
      <w:pPr>
        <w:spacing w:after="0" w:line="240" w:lineRule="auto"/>
        <w:jc w:val="both"/>
        <w:rPr>
          <w:rFonts w:ascii="Arial" w:hAnsi="Arial" w:cs="Arial"/>
          <w:sz w:val="20"/>
          <w:szCs w:val="20"/>
        </w:rPr>
      </w:pPr>
    </w:p>
    <w:p w14:paraId="0F35E39C" w14:textId="35757B79"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Universidad de Guanajuato se obliga a pagar a los dependientes económicos del trabajador en activo que fallezca, la diferencia entre la cantidad que por concepto de pensión o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 Esta prestación será extensiva a los dependientes económicos de los jubilados o pensionados que fallezcan, a los cuales, se les haya reconocido derecho a dicha pensión.</w:t>
      </w:r>
    </w:p>
    <w:p w14:paraId="45B8E983" w14:textId="77777777" w:rsidR="003B21C9" w:rsidRPr="001A399A" w:rsidRDefault="003B21C9" w:rsidP="001A399A">
      <w:pPr>
        <w:spacing w:after="0" w:line="240" w:lineRule="auto"/>
        <w:jc w:val="both"/>
        <w:rPr>
          <w:rFonts w:ascii="Arial" w:hAnsi="Arial" w:cs="Arial"/>
          <w:sz w:val="20"/>
          <w:szCs w:val="20"/>
        </w:rPr>
      </w:pPr>
    </w:p>
    <w:p w14:paraId="6CBAD80E"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Es importante señalar que, con la entrada en vigor de la reforma al Convenio para el Financiamiento del Complemento de Pensión, se estableció la obligación de pagar un complemento de pensión a los beneficiarios del personal con una antigüedad igual o superior a 5 años, y que hubieran fallecido por causas ajenas al trabajo, de acuerdo con lo dispuesto en la cláusula sexta de dicho convenio.</w:t>
      </w:r>
    </w:p>
    <w:p w14:paraId="6288004F" w14:textId="77777777" w:rsidR="003B21C9" w:rsidRPr="001A399A" w:rsidRDefault="003B21C9" w:rsidP="001A399A">
      <w:pPr>
        <w:spacing w:after="0" w:line="240" w:lineRule="auto"/>
        <w:jc w:val="both"/>
        <w:rPr>
          <w:rFonts w:ascii="Arial" w:hAnsi="Arial" w:cs="Arial"/>
          <w:sz w:val="20"/>
          <w:szCs w:val="20"/>
        </w:rPr>
      </w:pPr>
    </w:p>
    <w:p w14:paraId="240B65ED" w14:textId="77777777" w:rsidR="00642FAC" w:rsidRPr="001A399A" w:rsidRDefault="00642FAC" w:rsidP="001A399A">
      <w:pPr>
        <w:pStyle w:val="Prrafodelista"/>
        <w:numPr>
          <w:ilvl w:val="0"/>
          <w:numId w:val="24"/>
        </w:numPr>
        <w:spacing w:after="0" w:line="240" w:lineRule="auto"/>
        <w:contextualSpacing w:val="0"/>
        <w:jc w:val="both"/>
        <w:rPr>
          <w:rFonts w:ascii="Arial" w:hAnsi="Arial" w:cs="Arial"/>
          <w:sz w:val="20"/>
          <w:szCs w:val="20"/>
        </w:rPr>
      </w:pPr>
      <w:r w:rsidRPr="001A399A">
        <w:rPr>
          <w:rFonts w:ascii="Arial" w:hAnsi="Arial" w:cs="Arial"/>
          <w:sz w:val="20"/>
          <w:szCs w:val="20"/>
        </w:rPr>
        <w:t>Complemento de pensión por invalidez:</w:t>
      </w:r>
    </w:p>
    <w:p w14:paraId="6452039F" w14:textId="77777777" w:rsidR="00642FAC" w:rsidRPr="001A399A" w:rsidRDefault="00642FAC" w:rsidP="001A399A">
      <w:pPr>
        <w:spacing w:after="0" w:line="240" w:lineRule="auto"/>
        <w:jc w:val="both"/>
        <w:rPr>
          <w:rFonts w:ascii="Arial" w:hAnsi="Arial" w:cs="Arial"/>
          <w:sz w:val="20"/>
          <w:szCs w:val="20"/>
        </w:rPr>
      </w:pPr>
    </w:p>
    <w:p w14:paraId="3961D263"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Universidad de Guanajuato cubre el complemento de pensión por invalidez en los términos del artículo 44 de la Ley de Seguridad Social del Estado de Guanajuato.</w:t>
      </w:r>
    </w:p>
    <w:p w14:paraId="675112A2" w14:textId="77777777" w:rsidR="003B21C9" w:rsidRPr="001A399A" w:rsidRDefault="003B21C9" w:rsidP="001A399A">
      <w:pPr>
        <w:spacing w:after="0" w:line="240" w:lineRule="auto"/>
        <w:jc w:val="both"/>
        <w:rPr>
          <w:rFonts w:ascii="Arial" w:hAnsi="Arial" w:cs="Arial"/>
          <w:sz w:val="20"/>
          <w:szCs w:val="20"/>
        </w:rPr>
      </w:pPr>
    </w:p>
    <w:p w14:paraId="053FB7AD"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 </w:t>
      </w:r>
      <w:r w:rsidRPr="001A399A">
        <w:rPr>
          <w:rFonts w:ascii="Arial" w:hAnsi="Arial" w:cs="Arial"/>
          <w:i/>
          <w:iCs/>
          <w:sz w:val="20"/>
          <w:szCs w:val="20"/>
        </w:rPr>
        <w:t>Indemnización por incapacidad permanente total –</w:t>
      </w:r>
      <w:r w:rsidRPr="001A399A">
        <w:rPr>
          <w:rFonts w:ascii="Arial" w:hAnsi="Arial" w:cs="Arial"/>
          <w:sz w:val="20"/>
          <w:szCs w:val="20"/>
        </w:rPr>
        <w:t xml:space="preserve"> De conformidad con el contrato colectivo de trabajo la Universidad de Guanajuato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625AAE34" w14:textId="77777777" w:rsidR="003B21C9" w:rsidRPr="001A399A" w:rsidRDefault="003B21C9" w:rsidP="001A399A">
      <w:pPr>
        <w:spacing w:after="0" w:line="240" w:lineRule="auto"/>
        <w:jc w:val="both"/>
        <w:rPr>
          <w:rFonts w:ascii="Arial" w:hAnsi="Arial" w:cs="Arial"/>
          <w:sz w:val="20"/>
          <w:szCs w:val="20"/>
        </w:rPr>
      </w:pPr>
    </w:p>
    <w:p w14:paraId="631D7230"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Adicionalmente, los pensionados contarán con servicio médico, y quienes hayan tenido un nombramiento mayor a 12 horas recibirán ayuda de despensa, prestaciones que serán cubiertas por la Universidad de Guanajuato junto con las aportaciones quincenales.</w:t>
      </w:r>
    </w:p>
    <w:p w14:paraId="00E25B83" w14:textId="77777777" w:rsidR="003B21C9" w:rsidRPr="001A399A" w:rsidRDefault="003B21C9" w:rsidP="001A399A">
      <w:pPr>
        <w:spacing w:after="0" w:line="240" w:lineRule="auto"/>
        <w:jc w:val="both"/>
        <w:rPr>
          <w:rFonts w:ascii="Arial" w:hAnsi="Arial" w:cs="Arial"/>
          <w:sz w:val="20"/>
          <w:szCs w:val="20"/>
        </w:rPr>
      </w:pPr>
    </w:p>
    <w:p w14:paraId="2B85F569" w14:textId="4FD6E3D2" w:rsidR="00642FAC" w:rsidRDefault="00642FAC" w:rsidP="001A399A">
      <w:pPr>
        <w:spacing w:after="0" w:line="240" w:lineRule="auto"/>
        <w:jc w:val="both"/>
        <w:rPr>
          <w:rFonts w:ascii="Arial" w:hAnsi="Arial" w:cs="Arial"/>
          <w:sz w:val="20"/>
          <w:szCs w:val="20"/>
        </w:rPr>
      </w:pPr>
      <w:r w:rsidRPr="001A399A">
        <w:rPr>
          <w:rFonts w:ascii="Arial" w:hAnsi="Arial" w:cs="Arial"/>
          <w:sz w:val="20"/>
          <w:szCs w:val="20"/>
        </w:rPr>
        <w:lastRenderedPageBreak/>
        <w:t>De los importes de pensión determinados conforme a los párrafos anteriores, el Instituto de Seguridad Social del Estado de Guanajuato establece el monto de pensión que cubrirá. En lo que refiere al pago del complemento de pensión a cargo de la Universidad de Guanajuato, éste se registra en los egresos del ejercicio en que se pagan.</w:t>
      </w:r>
    </w:p>
    <w:p w14:paraId="4B6FD131" w14:textId="77777777" w:rsidR="003B21C9" w:rsidRPr="001A399A" w:rsidRDefault="003B21C9" w:rsidP="001A399A">
      <w:pPr>
        <w:spacing w:after="0" w:line="240" w:lineRule="auto"/>
        <w:jc w:val="both"/>
        <w:rPr>
          <w:rFonts w:ascii="Arial" w:hAnsi="Arial" w:cs="Arial"/>
          <w:sz w:val="20"/>
          <w:szCs w:val="20"/>
        </w:rPr>
      </w:pPr>
    </w:p>
    <w:p w14:paraId="4D2486B9" w14:textId="77777777" w:rsidR="00642FAC" w:rsidRPr="001A399A" w:rsidRDefault="00642FAC" w:rsidP="001A399A">
      <w:pPr>
        <w:spacing w:after="0" w:line="240" w:lineRule="auto"/>
        <w:jc w:val="both"/>
        <w:rPr>
          <w:rFonts w:ascii="Arial" w:hAnsi="Arial" w:cs="Arial"/>
          <w:sz w:val="20"/>
          <w:szCs w:val="20"/>
          <w:u w:val="single"/>
        </w:rPr>
      </w:pPr>
      <w:r w:rsidRPr="001A399A">
        <w:rPr>
          <w:rFonts w:ascii="Arial" w:hAnsi="Arial" w:cs="Arial"/>
          <w:sz w:val="20"/>
          <w:szCs w:val="20"/>
          <w:u w:val="single"/>
        </w:rPr>
        <w:t xml:space="preserve">Personal académico </w:t>
      </w:r>
    </w:p>
    <w:p w14:paraId="0D514F49" w14:textId="77777777" w:rsidR="00642FAC" w:rsidRPr="001A399A" w:rsidRDefault="00642FAC" w:rsidP="001A399A">
      <w:pPr>
        <w:pStyle w:val="Prrafodelista"/>
        <w:spacing w:after="0" w:line="240" w:lineRule="auto"/>
        <w:contextualSpacing w:val="0"/>
        <w:jc w:val="both"/>
        <w:rPr>
          <w:rFonts w:ascii="Arial" w:hAnsi="Arial" w:cs="Arial"/>
          <w:b/>
          <w:sz w:val="20"/>
          <w:szCs w:val="20"/>
        </w:rPr>
      </w:pPr>
    </w:p>
    <w:p w14:paraId="035B6277" w14:textId="77777777" w:rsidR="00642FAC" w:rsidRPr="001A399A" w:rsidRDefault="00642FAC" w:rsidP="001A399A">
      <w:pPr>
        <w:pStyle w:val="Prrafodelista"/>
        <w:numPr>
          <w:ilvl w:val="0"/>
          <w:numId w:val="25"/>
        </w:numPr>
        <w:spacing w:after="0" w:line="240" w:lineRule="auto"/>
        <w:ind w:left="567"/>
        <w:contextualSpacing w:val="0"/>
        <w:jc w:val="both"/>
        <w:rPr>
          <w:rFonts w:ascii="Arial" w:hAnsi="Arial" w:cs="Arial"/>
          <w:sz w:val="20"/>
          <w:szCs w:val="20"/>
        </w:rPr>
      </w:pPr>
      <w:r w:rsidRPr="001A399A">
        <w:rPr>
          <w:rFonts w:ascii="Arial" w:hAnsi="Arial" w:cs="Arial"/>
          <w:i/>
          <w:iCs/>
          <w:sz w:val="20"/>
          <w:szCs w:val="20"/>
        </w:rPr>
        <w:t>Primas de antigüedad</w:t>
      </w:r>
      <w:r w:rsidRPr="001A399A">
        <w:rPr>
          <w:rFonts w:ascii="Arial" w:hAnsi="Arial" w:cs="Arial"/>
          <w:sz w:val="20"/>
          <w:szCs w:val="20"/>
        </w:rPr>
        <w:t xml:space="preserve"> - De conformidad con el contrato colectivo de trabajo, esta prima se pagará mensualmente a partir de que el empleado cumpla 5 años de servicio en activo. Para el personal académico la prima inicial consiste en 10% adicional al sueldo, incrementándose en 2% por año trabajado hasta un máximo de 60%. Las erogaciones por primas de antigüedad se registran en los egresos del ejercicio en que se pagan. </w:t>
      </w:r>
    </w:p>
    <w:p w14:paraId="63DD1285" w14:textId="77777777" w:rsidR="00642FAC" w:rsidRPr="001A399A" w:rsidRDefault="00642FAC" w:rsidP="001A399A">
      <w:pPr>
        <w:spacing w:after="0" w:line="240" w:lineRule="auto"/>
        <w:jc w:val="both"/>
        <w:rPr>
          <w:rFonts w:ascii="Arial" w:hAnsi="Arial" w:cs="Arial"/>
          <w:sz w:val="20"/>
          <w:szCs w:val="20"/>
        </w:rPr>
      </w:pPr>
    </w:p>
    <w:p w14:paraId="331C675C" w14:textId="77777777" w:rsidR="00642FAC" w:rsidRPr="001A399A" w:rsidRDefault="00642FAC" w:rsidP="001A399A">
      <w:pPr>
        <w:pStyle w:val="Prrafodelista"/>
        <w:numPr>
          <w:ilvl w:val="0"/>
          <w:numId w:val="25"/>
        </w:numPr>
        <w:spacing w:after="0" w:line="240" w:lineRule="auto"/>
        <w:ind w:left="567"/>
        <w:contextualSpacing w:val="0"/>
        <w:jc w:val="both"/>
        <w:rPr>
          <w:rFonts w:ascii="Arial" w:hAnsi="Arial" w:cs="Arial"/>
          <w:sz w:val="20"/>
          <w:szCs w:val="20"/>
        </w:rPr>
      </w:pPr>
      <w:r w:rsidRPr="001A399A">
        <w:rPr>
          <w:rFonts w:ascii="Arial" w:hAnsi="Arial" w:cs="Arial"/>
          <w:i/>
          <w:iCs/>
          <w:sz w:val="20"/>
          <w:szCs w:val="20"/>
        </w:rPr>
        <w:t>Primas de separación -</w:t>
      </w:r>
      <w:r w:rsidRPr="001A399A">
        <w:rPr>
          <w:rFonts w:ascii="Arial" w:hAnsi="Arial" w:cs="Arial"/>
          <w:sz w:val="20"/>
          <w:szCs w:val="20"/>
        </w:rPr>
        <w:t xml:space="preserve"> De conformidad con los contratos colectivos en vigor, al momento de separarse voluntariamente o por despido, a los empleados se les paga una prima de separación, la cual fluctúa entre 12 y 20 días del último salario devengado por año trabajado, dependiendo de la antigüedad del empleado, las cuales se registran en los egresos del año en que se pagan.</w:t>
      </w:r>
    </w:p>
    <w:p w14:paraId="63B6159A" w14:textId="77777777" w:rsidR="00642FAC" w:rsidRPr="001A399A" w:rsidRDefault="00642FAC" w:rsidP="001A399A">
      <w:pPr>
        <w:spacing w:after="0" w:line="240" w:lineRule="auto"/>
        <w:jc w:val="both"/>
        <w:rPr>
          <w:rFonts w:ascii="Arial" w:hAnsi="Arial" w:cs="Arial"/>
          <w:sz w:val="20"/>
          <w:szCs w:val="20"/>
        </w:rPr>
      </w:pPr>
    </w:p>
    <w:p w14:paraId="5B67A556" w14:textId="77777777" w:rsidR="00642FAC" w:rsidRPr="001A399A" w:rsidRDefault="00642FAC" w:rsidP="001A399A">
      <w:pPr>
        <w:pStyle w:val="Prrafodelista"/>
        <w:numPr>
          <w:ilvl w:val="0"/>
          <w:numId w:val="25"/>
        </w:numPr>
        <w:spacing w:after="0" w:line="240" w:lineRule="auto"/>
        <w:ind w:left="567"/>
        <w:contextualSpacing w:val="0"/>
        <w:jc w:val="both"/>
        <w:rPr>
          <w:rFonts w:ascii="Arial" w:hAnsi="Arial" w:cs="Arial"/>
          <w:sz w:val="20"/>
          <w:szCs w:val="20"/>
        </w:rPr>
      </w:pPr>
      <w:r w:rsidRPr="001A399A">
        <w:rPr>
          <w:rFonts w:ascii="Arial" w:hAnsi="Arial" w:cs="Arial"/>
          <w:sz w:val="20"/>
          <w:szCs w:val="20"/>
        </w:rPr>
        <w:t xml:space="preserve">Remuneraciones y prestaciones a jubilados y pensionados -  Pago a través de la Instituto de Seguridad Social del Estado de Guanajuato.- </w:t>
      </w:r>
    </w:p>
    <w:p w14:paraId="323EBFC4" w14:textId="77777777" w:rsidR="00642FAC" w:rsidRPr="001A399A" w:rsidRDefault="00642FAC" w:rsidP="001A399A">
      <w:pPr>
        <w:spacing w:after="0" w:line="240" w:lineRule="auto"/>
        <w:jc w:val="both"/>
        <w:rPr>
          <w:rFonts w:ascii="Arial" w:hAnsi="Arial" w:cs="Arial"/>
          <w:sz w:val="20"/>
          <w:szCs w:val="20"/>
        </w:rPr>
      </w:pPr>
    </w:p>
    <w:p w14:paraId="2C4F8EC8" w14:textId="77777777" w:rsidR="00642FAC" w:rsidRPr="001A399A" w:rsidRDefault="00642FAC" w:rsidP="001A399A">
      <w:pPr>
        <w:pStyle w:val="Prrafodelista"/>
        <w:numPr>
          <w:ilvl w:val="0"/>
          <w:numId w:val="26"/>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jubilación: </w:t>
      </w:r>
    </w:p>
    <w:p w14:paraId="03255A90" w14:textId="77777777" w:rsidR="00642FAC" w:rsidRPr="001A399A" w:rsidRDefault="00642FAC" w:rsidP="001A399A">
      <w:pPr>
        <w:spacing w:after="0" w:line="240" w:lineRule="auto"/>
        <w:jc w:val="both"/>
        <w:rPr>
          <w:rFonts w:ascii="Arial" w:hAnsi="Arial" w:cs="Arial"/>
          <w:sz w:val="20"/>
          <w:szCs w:val="20"/>
        </w:rPr>
      </w:pPr>
    </w:p>
    <w:p w14:paraId="4B0FF9DD"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conformidad con la Ley de Seguridad Social del Estado de Guanajuato, para cuya observancia se constituyó el Instituto de Seguridad Social del Estado de Guanajuato, los asegurados que habiendo cumplido 65 años de edad y que hubieran cotizado, cuando menos 28 años para mujeres y 30 años para varones, tendrán derecho a una pensión por jubilación. </w:t>
      </w:r>
    </w:p>
    <w:p w14:paraId="3EF16BEE" w14:textId="77777777" w:rsidR="00642FAC" w:rsidRPr="001A399A" w:rsidRDefault="00642FAC" w:rsidP="001A399A">
      <w:pPr>
        <w:spacing w:after="0" w:line="240" w:lineRule="auto"/>
        <w:jc w:val="both"/>
        <w:rPr>
          <w:rFonts w:ascii="Arial" w:hAnsi="Arial" w:cs="Arial"/>
          <w:sz w:val="20"/>
          <w:szCs w:val="20"/>
        </w:rPr>
      </w:pPr>
    </w:p>
    <w:p w14:paraId="4EC64F5E" w14:textId="77777777" w:rsidR="00642FAC" w:rsidRPr="001A399A" w:rsidRDefault="00642FAC" w:rsidP="001A399A">
      <w:pPr>
        <w:pStyle w:val="Prrafodelista"/>
        <w:numPr>
          <w:ilvl w:val="0"/>
          <w:numId w:val="26"/>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vejez: </w:t>
      </w:r>
    </w:p>
    <w:p w14:paraId="28DFB50C" w14:textId="77777777" w:rsidR="00642FAC" w:rsidRPr="001A399A" w:rsidRDefault="00642FAC" w:rsidP="001A399A">
      <w:pPr>
        <w:spacing w:after="0" w:line="240" w:lineRule="auto"/>
        <w:jc w:val="both"/>
        <w:rPr>
          <w:rFonts w:ascii="Arial" w:hAnsi="Arial" w:cs="Arial"/>
          <w:sz w:val="20"/>
          <w:szCs w:val="20"/>
        </w:rPr>
      </w:pPr>
    </w:p>
    <w:p w14:paraId="2931566B"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conformidad con la Ley de Seguridad Social del Estado de Guanajuato, para cuya observancia se constituyó el Instituto de Seguridad Social del Estado de Guanajuato, los asegurados que habiendo cumplido 65 años de edad y que hubieran cotizado cuando menos durante 15 años, tendrán derecho a una pensión por vejez. </w:t>
      </w:r>
    </w:p>
    <w:p w14:paraId="64CCFE2B" w14:textId="77777777" w:rsidR="00642FAC" w:rsidRPr="001A399A" w:rsidRDefault="00642FAC" w:rsidP="001A399A">
      <w:pPr>
        <w:spacing w:after="0" w:line="240" w:lineRule="auto"/>
        <w:jc w:val="both"/>
        <w:rPr>
          <w:rFonts w:ascii="Arial" w:hAnsi="Arial" w:cs="Arial"/>
          <w:sz w:val="20"/>
          <w:szCs w:val="20"/>
        </w:rPr>
      </w:pPr>
    </w:p>
    <w:p w14:paraId="273F9369" w14:textId="77777777" w:rsidR="00642FAC" w:rsidRPr="001A399A" w:rsidRDefault="00642FAC" w:rsidP="001A399A">
      <w:pPr>
        <w:pStyle w:val="Prrafodelista"/>
        <w:numPr>
          <w:ilvl w:val="0"/>
          <w:numId w:val="26"/>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muerte: </w:t>
      </w:r>
    </w:p>
    <w:p w14:paraId="4D06EA2D" w14:textId="77777777" w:rsidR="00642FAC" w:rsidRPr="001A399A" w:rsidRDefault="00642FAC" w:rsidP="001A399A">
      <w:pPr>
        <w:spacing w:after="0" w:line="240" w:lineRule="auto"/>
        <w:jc w:val="both"/>
        <w:rPr>
          <w:rFonts w:ascii="Arial" w:hAnsi="Arial" w:cs="Arial"/>
          <w:sz w:val="20"/>
          <w:szCs w:val="20"/>
        </w:rPr>
      </w:pPr>
    </w:p>
    <w:p w14:paraId="1D52A1AF"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De conformidad con la Ley de Seguridad Social del Estado de Guanajuato, para cuya observancia se constituyó el Instituto de Seguridad Social del Estado de Guanajuato, los asegurados que hubieran cotizado cuando menos 15 años, tendrán derecho a una pensión por muerte.</w:t>
      </w:r>
    </w:p>
    <w:p w14:paraId="0611682E" w14:textId="77777777" w:rsidR="00642FAC" w:rsidRPr="001A399A" w:rsidRDefault="00642FAC" w:rsidP="001A399A">
      <w:pPr>
        <w:spacing w:after="0" w:line="240" w:lineRule="auto"/>
        <w:jc w:val="both"/>
        <w:rPr>
          <w:rFonts w:ascii="Arial" w:hAnsi="Arial" w:cs="Arial"/>
          <w:sz w:val="20"/>
          <w:szCs w:val="20"/>
        </w:rPr>
      </w:pPr>
    </w:p>
    <w:p w14:paraId="64D669A0" w14:textId="77777777" w:rsidR="00642FAC" w:rsidRPr="001A399A" w:rsidRDefault="00642FAC" w:rsidP="001A399A">
      <w:pPr>
        <w:pStyle w:val="Prrafodelista"/>
        <w:numPr>
          <w:ilvl w:val="0"/>
          <w:numId w:val="26"/>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Seguro por invalidez: </w:t>
      </w:r>
    </w:p>
    <w:p w14:paraId="109F12D1" w14:textId="77777777" w:rsidR="00642FAC" w:rsidRPr="001A399A" w:rsidRDefault="00642FAC" w:rsidP="001A399A">
      <w:pPr>
        <w:spacing w:after="0" w:line="240" w:lineRule="auto"/>
        <w:jc w:val="both"/>
        <w:rPr>
          <w:rFonts w:ascii="Arial" w:hAnsi="Arial" w:cs="Arial"/>
          <w:sz w:val="20"/>
          <w:szCs w:val="20"/>
        </w:rPr>
      </w:pPr>
    </w:p>
    <w:p w14:paraId="41A1A0C9"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De conformidad con la Ley de Seguridad Social del Estado de Guanajuato, para cuya observancia se constituyó el Instituto de Seguridad Social del Estado de Guanajuato, los asegurados que habiendo cumplido 5 años de cotización, tendrán derecho a una pensión por invalidez.</w:t>
      </w:r>
    </w:p>
    <w:p w14:paraId="70A21615" w14:textId="77777777" w:rsidR="00642FAC" w:rsidRPr="001A399A" w:rsidRDefault="00642FAC" w:rsidP="001A399A">
      <w:pPr>
        <w:spacing w:after="0" w:line="240" w:lineRule="auto"/>
        <w:jc w:val="both"/>
        <w:rPr>
          <w:rFonts w:ascii="Arial" w:hAnsi="Arial" w:cs="Arial"/>
          <w:sz w:val="20"/>
          <w:szCs w:val="20"/>
        </w:rPr>
      </w:pPr>
    </w:p>
    <w:p w14:paraId="15362662" w14:textId="77777777" w:rsidR="00642FAC" w:rsidRPr="001A399A" w:rsidRDefault="00642FAC" w:rsidP="001A399A">
      <w:pPr>
        <w:pStyle w:val="Prrafodelista"/>
        <w:numPr>
          <w:ilvl w:val="0"/>
          <w:numId w:val="25"/>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Remuneraciones y prestaciones a jubilados y pensionados -  Complemento de pensión a cargo de la Universidad de Guanajuato.-  </w:t>
      </w:r>
    </w:p>
    <w:p w14:paraId="596B2FBA" w14:textId="77777777" w:rsidR="00642FAC" w:rsidRPr="001A399A" w:rsidRDefault="00642FAC" w:rsidP="001A399A">
      <w:pPr>
        <w:spacing w:after="0" w:line="240" w:lineRule="auto"/>
        <w:jc w:val="both"/>
        <w:rPr>
          <w:rFonts w:ascii="Arial" w:hAnsi="Arial" w:cs="Arial"/>
          <w:sz w:val="20"/>
          <w:szCs w:val="20"/>
        </w:rPr>
      </w:pPr>
    </w:p>
    <w:p w14:paraId="0012E045" w14:textId="77777777" w:rsidR="00642FAC" w:rsidRPr="001A399A" w:rsidRDefault="00642FAC" w:rsidP="001A399A">
      <w:pPr>
        <w:pStyle w:val="Prrafodelista"/>
        <w:numPr>
          <w:ilvl w:val="0"/>
          <w:numId w:val="27"/>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Complemento de pensión por jubilación y vejez: </w:t>
      </w:r>
    </w:p>
    <w:p w14:paraId="6F32678B" w14:textId="77777777" w:rsidR="00642FAC" w:rsidRPr="001A399A" w:rsidRDefault="00642FAC" w:rsidP="001A399A">
      <w:pPr>
        <w:spacing w:after="0" w:line="240" w:lineRule="auto"/>
        <w:jc w:val="both"/>
        <w:rPr>
          <w:rFonts w:ascii="Arial" w:hAnsi="Arial" w:cs="Arial"/>
          <w:sz w:val="20"/>
          <w:szCs w:val="20"/>
        </w:rPr>
      </w:pPr>
    </w:p>
    <w:p w14:paraId="7BBB2D57" w14:textId="77777777" w:rsidR="00642FAC" w:rsidRPr="001A399A" w:rsidRDefault="00642FAC" w:rsidP="001A399A">
      <w:pPr>
        <w:pStyle w:val="Prrafodelista"/>
        <w:numPr>
          <w:ilvl w:val="0"/>
          <w:numId w:val="28"/>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Generación con derecho adquirido. </w:t>
      </w:r>
    </w:p>
    <w:p w14:paraId="56C7552B" w14:textId="77777777" w:rsidR="00642FAC" w:rsidRPr="001A399A" w:rsidRDefault="00642FAC" w:rsidP="001A399A">
      <w:pPr>
        <w:spacing w:after="0" w:line="240" w:lineRule="auto"/>
        <w:jc w:val="both"/>
        <w:rPr>
          <w:rFonts w:ascii="Arial" w:hAnsi="Arial" w:cs="Arial"/>
          <w:sz w:val="20"/>
          <w:szCs w:val="20"/>
        </w:rPr>
      </w:pPr>
    </w:p>
    <w:p w14:paraId="381B487C" w14:textId="77777777" w:rsidR="00642FAC" w:rsidRPr="001A399A" w:rsidRDefault="00642FAC" w:rsidP="001A399A">
      <w:pPr>
        <w:pStyle w:val="Prrafodelista"/>
        <w:spacing w:after="0" w:line="240" w:lineRule="auto"/>
        <w:ind w:left="0"/>
        <w:contextualSpacing w:val="0"/>
        <w:jc w:val="both"/>
        <w:rPr>
          <w:rFonts w:ascii="Arial" w:hAnsi="Arial" w:cs="Arial"/>
          <w:sz w:val="20"/>
          <w:szCs w:val="20"/>
        </w:rPr>
      </w:pPr>
      <w:r w:rsidRPr="001A399A">
        <w:rPr>
          <w:rFonts w:ascii="Arial" w:hAnsi="Arial" w:cs="Arial"/>
          <w:sz w:val="20"/>
          <w:szCs w:val="20"/>
        </w:rPr>
        <w:t xml:space="preserve">A los trabajadores que, al 31 de diciembre del año 2017, hayan adquirido el derecho a la pensión por retiro o vejez, la Universidad de Guanajuato se obliga a cubrir la diferencia entre la cantidad que, por seguro de retiro </w:t>
      </w:r>
      <w:r w:rsidRPr="001A399A">
        <w:rPr>
          <w:rFonts w:ascii="Arial" w:hAnsi="Arial" w:cs="Arial"/>
          <w:sz w:val="20"/>
          <w:szCs w:val="20"/>
        </w:rPr>
        <w:lastRenderedPageBreak/>
        <w:t>o la proporción por seguro de vejez, les fije el Instituto de Seguridad Social del Estado de Guanajuato y el salario más prestaciones devengados en el momento de pensionarse o el del puesto o categoría más alto ocupado en los 3 últimos años, según convenga al trabajador.</w:t>
      </w:r>
    </w:p>
    <w:p w14:paraId="09B88C2D" w14:textId="77777777" w:rsidR="00642FAC" w:rsidRPr="001A399A" w:rsidRDefault="00642FAC" w:rsidP="001A399A">
      <w:pPr>
        <w:spacing w:after="0" w:line="240" w:lineRule="auto"/>
        <w:jc w:val="both"/>
        <w:rPr>
          <w:rFonts w:ascii="Arial" w:hAnsi="Arial" w:cs="Arial"/>
          <w:sz w:val="20"/>
          <w:szCs w:val="20"/>
        </w:rPr>
      </w:pPr>
    </w:p>
    <w:p w14:paraId="07E646A2" w14:textId="77777777" w:rsidR="00642FAC" w:rsidRPr="001A399A" w:rsidRDefault="00642FAC" w:rsidP="001A399A">
      <w:pPr>
        <w:pStyle w:val="Prrafodelista"/>
        <w:numPr>
          <w:ilvl w:val="0"/>
          <w:numId w:val="29"/>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Generación en transición. </w:t>
      </w:r>
    </w:p>
    <w:p w14:paraId="283075BE" w14:textId="77777777" w:rsidR="00642FAC" w:rsidRPr="001A399A" w:rsidRDefault="00642FAC" w:rsidP="001A399A">
      <w:pPr>
        <w:spacing w:after="0" w:line="240" w:lineRule="auto"/>
        <w:jc w:val="both"/>
        <w:rPr>
          <w:rFonts w:ascii="Arial" w:hAnsi="Arial" w:cs="Arial"/>
          <w:sz w:val="20"/>
          <w:szCs w:val="20"/>
        </w:rPr>
      </w:pPr>
    </w:p>
    <w:p w14:paraId="6621B909" w14:textId="77777777" w:rsidR="00642FAC" w:rsidRPr="001A399A" w:rsidRDefault="00642FAC" w:rsidP="001A399A">
      <w:pPr>
        <w:pStyle w:val="Prrafodelista"/>
        <w:spacing w:after="0" w:line="240" w:lineRule="auto"/>
        <w:ind w:left="11"/>
        <w:contextualSpacing w:val="0"/>
        <w:jc w:val="both"/>
        <w:rPr>
          <w:rFonts w:ascii="Arial" w:hAnsi="Arial" w:cs="Arial"/>
          <w:sz w:val="20"/>
          <w:szCs w:val="20"/>
        </w:rPr>
      </w:pPr>
      <w:r w:rsidRPr="001A399A">
        <w:rPr>
          <w:rFonts w:ascii="Arial" w:hAnsi="Arial" w:cs="Arial"/>
          <w:sz w:val="20"/>
          <w:szCs w:val="20"/>
        </w:rPr>
        <w:t>Para el caso de los trabajadores que ingresaron a la Universidad de Guanajuato hasta el 31 de diciembre del año 2017, se aplicará el complemento de pensión, sobre la diferencia entre la cantidad que el Instituto determine como pensión por jubilación y el 100% del promedio ponderado de los salarios integrados de los últimos 3 años, actualizados conforme al tabulador o al Indice Nacional de Precios al Consumidor, según convenga al trabajador.</w:t>
      </w:r>
    </w:p>
    <w:p w14:paraId="36C48542" w14:textId="77777777" w:rsidR="00642FAC" w:rsidRPr="001A399A" w:rsidRDefault="00642FAC" w:rsidP="001A399A">
      <w:pPr>
        <w:spacing w:after="0" w:line="240" w:lineRule="auto"/>
        <w:jc w:val="both"/>
        <w:rPr>
          <w:rFonts w:ascii="Arial" w:hAnsi="Arial" w:cs="Arial"/>
          <w:sz w:val="20"/>
          <w:szCs w:val="20"/>
        </w:rPr>
      </w:pPr>
    </w:p>
    <w:p w14:paraId="2C38F98A" w14:textId="77777777" w:rsidR="00642FAC" w:rsidRPr="001A399A" w:rsidRDefault="00642FAC" w:rsidP="001A399A">
      <w:pPr>
        <w:pStyle w:val="Prrafodelista"/>
        <w:numPr>
          <w:ilvl w:val="0"/>
          <w:numId w:val="30"/>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Nuevas generaciones: </w:t>
      </w:r>
    </w:p>
    <w:p w14:paraId="20C9DE54" w14:textId="77777777" w:rsidR="00642FAC" w:rsidRPr="001A399A" w:rsidRDefault="00642FAC" w:rsidP="001A399A">
      <w:pPr>
        <w:spacing w:after="0" w:line="240" w:lineRule="auto"/>
        <w:jc w:val="both"/>
        <w:rPr>
          <w:rFonts w:ascii="Arial" w:hAnsi="Arial" w:cs="Arial"/>
          <w:sz w:val="20"/>
          <w:szCs w:val="20"/>
        </w:rPr>
      </w:pPr>
    </w:p>
    <w:p w14:paraId="7B630305" w14:textId="77777777" w:rsidR="00642FAC" w:rsidRPr="001A399A" w:rsidRDefault="00642FAC" w:rsidP="001A399A">
      <w:pPr>
        <w:pStyle w:val="Prrafodelista"/>
        <w:spacing w:after="0" w:line="240" w:lineRule="auto"/>
        <w:ind w:left="22"/>
        <w:contextualSpacing w:val="0"/>
        <w:jc w:val="both"/>
        <w:rPr>
          <w:rFonts w:ascii="Arial" w:hAnsi="Arial" w:cs="Arial"/>
          <w:sz w:val="20"/>
          <w:szCs w:val="20"/>
        </w:rPr>
      </w:pPr>
      <w:r w:rsidRPr="001A399A">
        <w:rPr>
          <w:rFonts w:ascii="Arial" w:hAnsi="Arial" w:cs="Arial"/>
          <w:sz w:val="20"/>
          <w:szCs w:val="20"/>
        </w:rPr>
        <w:t>Para el caso de pagos de pensión por jubilación a trabajadores que ingresaron en fecha posterior al 31 de diciembre de 2017, la Universidad de Guanajuato cubrirá al trabajador como complemento de pensión, la diferencia entre la cantidad que el Instituto de Seguridad Social del Estado de Guanajuato determine como pensión por jubilación y el 93.5% del promedio ponderado de los salarios integrados de los últimos 5 años de servicio actualizado con el Indice Nacional de Precios al Consumidor.</w:t>
      </w:r>
    </w:p>
    <w:p w14:paraId="2077D419" w14:textId="77777777" w:rsidR="00642FAC" w:rsidRPr="001A399A" w:rsidRDefault="00642FAC" w:rsidP="001A399A">
      <w:pPr>
        <w:spacing w:after="0" w:line="240" w:lineRule="auto"/>
        <w:jc w:val="both"/>
        <w:rPr>
          <w:rFonts w:ascii="Arial" w:hAnsi="Arial" w:cs="Arial"/>
          <w:sz w:val="20"/>
          <w:szCs w:val="20"/>
        </w:rPr>
      </w:pPr>
    </w:p>
    <w:p w14:paraId="30109189" w14:textId="77777777" w:rsidR="00642FAC" w:rsidRPr="001A399A" w:rsidRDefault="00642FAC" w:rsidP="001A399A">
      <w:pPr>
        <w:pStyle w:val="Prrafodelista"/>
        <w:numPr>
          <w:ilvl w:val="0"/>
          <w:numId w:val="27"/>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Complemento de pensión por fallecimiento: </w:t>
      </w:r>
    </w:p>
    <w:p w14:paraId="06ABEF11" w14:textId="77777777" w:rsidR="00642FAC" w:rsidRPr="001A399A" w:rsidRDefault="00642FAC" w:rsidP="001A399A">
      <w:pPr>
        <w:spacing w:after="0" w:line="240" w:lineRule="auto"/>
        <w:jc w:val="both"/>
        <w:rPr>
          <w:rFonts w:ascii="Arial" w:hAnsi="Arial" w:cs="Arial"/>
          <w:sz w:val="20"/>
          <w:szCs w:val="20"/>
        </w:rPr>
      </w:pPr>
    </w:p>
    <w:p w14:paraId="0CFF1ECB"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La Universidad de Guanajuato se obliga a pagar a los dependientes económicos del trabajador en activo que fallezca, la diferencia entre la cantidad que por concepto de pensión o muerte les fije el Instituto de Seguridad Social del Estado de Guanajuato y el 80% del salario más prestaciones asignado al puesto desempeñado por el trabajador en el momento de su fallecimiento en adición al derecho de que se les cubra la diferencia calculada sobre las mismas bases cada vez que aumenten los salarios y prestaciones a los trabajadores en activo. </w:t>
      </w:r>
    </w:p>
    <w:p w14:paraId="324D0D64" w14:textId="77777777" w:rsidR="00642FAC" w:rsidRPr="001A399A" w:rsidRDefault="00642FAC" w:rsidP="001A399A">
      <w:pPr>
        <w:spacing w:after="0" w:line="240" w:lineRule="auto"/>
        <w:jc w:val="both"/>
        <w:rPr>
          <w:rFonts w:ascii="Arial" w:hAnsi="Arial" w:cs="Arial"/>
          <w:sz w:val="20"/>
          <w:szCs w:val="20"/>
        </w:rPr>
      </w:pPr>
    </w:p>
    <w:p w14:paraId="51077F48"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Esta prestación será extensiva a los dependientes económicos de los jubilados o pensionados que fallezcan, a los cuales, el Instituto de Seguridad Social del Estado de Guanajuato le haya reconocido derecho a pensión.</w:t>
      </w:r>
    </w:p>
    <w:p w14:paraId="27AAD1B6" w14:textId="77777777" w:rsidR="00642FAC" w:rsidRPr="001A399A" w:rsidRDefault="00642FAC" w:rsidP="001A399A">
      <w:pPr>
        <w:spacing w:after="0" w:line="240" w:lineRule="auto"/>
        <w:jc w:val="both"/>
        <w:rPr>
          <w:rFonts w:ascii="Arial" w:hAnsi="Arial" w:cs="Arial"/>
          <w:sz w:val="20"/>
          <w:szCs w:val="20"/>
        </w:rPr>
      </w:pPr>
    </w:p>
    <w:p w14:paraId="5F3C03D0"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Es importante señalar que, con la entrada en vigor de la reforma al Convenio para el Financiamiento del Complemento de Pensión, se estableció la obligación de pagar un complemento de pensión a los beneficiarios del personal con una antigüedad igual o superior a 5 años, y que hubieran fallecido por causas ajenas al trabajo, de acuerdo con lo dispuesto en la cláusula sexta de dicho convenio.</w:t>
      </w:r>
    </w:p>
    <w:p w14:paraId="1C6B3475" w14:textId="77777777" w:rsidR="00642FAC" w:rsidRPr="001A399A" w:rsidRDefault="00642FAC" w:rsidP="001A399A">
      <w:pPr>
        <w:spacing w:after="0" w:line="240" w:lineRule="auto"/>
        <w:jc w:val="both"/>
        <w:rPr>
          <w:rFonts w:ascii="Arial" w:hAnsi="Arial" w:cs="Arial"/>
          <w:sz w:val="20"/>
          <w:szCs w:val="20"/>
        </w:rPr>
      </w:pPr>
    </w:p>
    <w:p w14:paraId="57C82393" w14:textId="77777777" w:rsidR="00642FAC" w:rsidRPr="001A399A" w:rsidRDefault="00642FAC" w:rsidP="001A399A">
      <w:pPr>
        <w:pStyle w:val="Prrafodelista"/>
        <w:numPr>
          <w:ilvl w:val="0"/>
          <w:numId w:val="27"/>
        </w:numPr>
        <w:spacing w:after="0" w:line="240" w:lineRule="auto"/>
        <w:contextualSpacing w:val="0"/>
        <w:jc w:val="both"/>
        <w:rPr>
          <w:rFonts w:ascii="Arial" w:hAnsi="Arial" w:cs="Arial"/>
          <w:sz w:val="20"/>
          <w:szCs w:val="20"/>
        </w:rPr>
      </w:pPr>
      <w:r w:rsidRPr="001A399A">
        <w:rPr>
          <w:rFonts w:ascii="Arial" w:hAnsi="Arial" w:cs="Arial"/>
          <w:sz w:val="20"/>
          <w:szCs w:val="20"/>
        </w:rPr>
        <w:t>Complemento de pensión por invalidez:</w:t>
      </w:r>
    </w:p>
    <w:p w14:paraId="3409ABA6" w14:textId="77777777" w:rsidR="00642FAC" w:rsidRPr="001A399A" w:rsidRDefault="00642FAC" w:rsidP="001A399A">
      <w:pPr>
        <w:spacing w:after="0" w:line="240" w:lineRule="auto"/>
        <w:jc w:val="both"/>
        <w:rPr>
          <w:rFonts w:ascii="Arial" w:hAnsi="Arial" w:cs="Arial"/>
          <w:sz w:val="20"/>
          <w:szCs w:val="20"/>
        </w:rPr>
      </w:pPr>
    </w:p>
    <w:p w14:paraId="720AD2B2"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La Universidad de Guanajuato cubre el complemento de pensión por invalidez en los términos del artículo 44 de la Ley de Seguridad Social del Estado de Guanajuato. </w:t>
      </w:r>
    </w:p>
    <w:p w14:paraId="2441FD3D" w14:textId="77777777" w:rsidR="00642FAC" w:rsidRPr="001A399A" w:rsidRDefault="00642FAC" w:rsidP="001A399A">
      <w:pPr>
        <w:spacing w:after="0" w:line="240" w:lineRule="auto"/>
        <w:jc w:val="both"/>
        <w:rPr>
          <w:rFonts w:ascii="Arial" w:hAnsi="Arial" w:cs="Arial"/>
          <w:sz w:val="20"/>
          <w:szCs w:val="20"/>
        </w:rPr>
      </w:pPr>
    </w:p>
    <w:p w14:paraId="129CC955"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Adicionalmente, los pensionados contarán con servicio médico, y quienes hayan tenido un nombramiento mayor a 12 horas recibirán ayuda de despensa, prestaciones que serán cubiertas por la Universidad de Guanajuato junto con las aportaciones quincenales.</w:t>
      </w:r>
    </w:p>
    <w:p w14:paraId="23E46FE3" w14:textId="77777777" w:rsidR="00642FAC" w:rsidRPr="001A399A" w:rsidRDefault="00642FAC" w:rsidP="001A399A">
      <w:pPr>
        <w:spacing w:after="0" w:line="240" w:lineRule="auto"/>
        <w:jc w:val="both"/>
        <w:rPr>
          <w:rFonts w:ascii="Arial" w:hAnsi="Arial" w:cs="Arial"/>
          <w:sz w:val="20"/>
          <w:szCs w:val="20"/>
        </w:rPr>
      </w:pPr>
    </w:p>
    <w:p w14:paraId="0DA51F2D" w14:textId="77777777" w:rsidR="00642FAC" w:rsidRPr="001A399A" w:rsidRDefault="00642FAC" w:rsidP="001A399A">
      <w:pPr>
        <w:pStyle w:val="Prrafodelista"/>
        <w:numPr>
          <w:ilvl w:val="0"/>
          <w:numId w:val="25"/>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Límites al complemento de pensión establecido en el contrato colectivo de trabajo de la Asociación Sindical de Personal Académico y Administrativo de la Universidad de Guanajuato - </w:t>
      </w:r>
    </w:p>
    <w:p w14:paraId="12A9AE4F" w14:textId="77777777" w:rsidR="00642FAC" w:rsidRPr="001A399A" w:rsidRDefault="00642FAC" w:rsidP="001A399A">
      <w:pPr>
        <w:spacing w:after="0" w:line="240" w:lineRule="auto"/>
        <w:jc w:val="both"/>
        <w:rPr>
          <w:rFonts w:ascii="Arial" w:hAnsi="Arial" w:cs="Arial"/>
          <w:sz w:val="20"/>
          <w:szCs w:val="20"/>
        </w:rPr>
      </w:pPr>
    </w:p>
    <w:p w14:paraId="1290BF94" w14:textId="77777777" w:rsidR="00642FAC" w:rsidRPr="001A399A" w:rsidRDefault="00642FAC" w:rsidP="001A399A">
      <w:pPr>
        <w:spacing w:after="0" w:line="240" w:lineRule="auto"/>
        <w:ind w:left="774"/>
        <w:jc w:val="both"/>
        <w:rPr>
          <w:rFonts w:ascii="Arial" w:hAnsi="Arial" w:cs="Arial"/>
          <w:sz w:val="20"/>
          <w:szCs w:val="20"/>
        </w:rPr>
      </w:pPr>
      <w:r w:rsidRPr="001A399A">
        <w:rPr>
          <w:rFonts w:ascii="Arial" w:hAnsi="Arial" w:cs="Arial"/>
          <w:sz w:val="20"/>
          <w:szCs w:val="20"/>
        </w:rPr>
        <w:t>La Universidad de Guanajuato se obliga a que el personal directivo siguiente:</w:t>
      </w:r>
    </w:p>
    <w:p w14:paraId="5612510E"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Rector General;</w:t>
      </w:r>
    </w:p>
    <w:p w14:paraId="17BC5A15"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Secretario General;</w:t>
      </w:r>
    </w:p>
    <w:p w14:paraId="2FD8A2DC"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Secretario Académico;</w:t>
      </w:r>
    </w:p>
    <w:p w14:paraId="24EC937C"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Secretario de Gestión y Desarrollo;</w:t>
      </w:r>
    </w:p>
    <w:p w14:paraId="22E2D36A"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Directores de la Administración de la Rectoría General;</w:t>
      </w:r>
    </w:p>
    <w:p w14:paraId="72D55B67"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t>Rectores y secretarios académicos de Campi; y</w:t>
      </w:r>
    </w:p>
    <w:p w14:paraId="7E206CB5" w14:textId="77777777" w:rsidR="00642FAC" w:rsidRPr="001A399A" w:rsidRDefault="00642FAC" w:rsidP="001A399A">
      <w:pPr>
        <w:pStyle w:val="Prrafodelista"/>
        <w:numPr>
          <w:ilvl w:val="1"/>
          <w:numId w:val="19"/>
        </w:numPr>
        <w:spacing w:after="0" w:line="240" w:lineRule="auto"/>
        <w:ind w:left="1134"/>
        <w:contextualSpacing w:val="0"/>
        <w:jc w:val="both"/>
        <w:rPr>
          <w:rFonts w:ascii="Arial" w:hAnsi="Arial" w:cs="Arial"/>
          <w:sz w:val="20"/>
          <w:szCs w:val="20"/>
        </w:rPr>
      </w:pPr>
      <w:r w:rsidRPr="001A399A">
        <w:rPr>
          <w:rFonts w:ascii="Arial" w:hAnsi="Arial" w:cs="Arial"/>
          <w:sz w:val="20"/>
          <w:szCs w:val="20"/>
        </w:rPr>
        <w:lastRenderedPageBreak/>
        <w:t>Director y Secretario Académico del Colegio de Nivel Medio Superior.</w:t>
      </w:r>
    </w:p>
    <w:p w14:paraId="3CF76A58" w14:textId="77777777" w:rsidR="00642FAC" w:rsidRPr="001A399A" w:rsidRDefault="00642FAC" w:rsidP="001A399A">
      <w:pPr>
        <w:spacing w:after="0" w:line="240" w:lineRule="auto"/>
        <w:jc w:val="both"/>
        <w:rPr>
          <w:rFonts w:ascii="Arial" w:hAnsi="Arial" w:cs="Arial"/>
          <w:sz w:val="20"/>
          <w:szCs w:val="20"/>
        </w:rPr>
      </w:pPr>
    </w:p>
    <w:p w14:paraId="7AB77EEB"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Obtendrá como complemento de pensión la diferencia entre la cantidad que el Instituto de Seguridad Social del Estado de Guanajuato determine como pensión por jubilación y 93.5% del promedio ponderado de los salarios integrados de los últimos 5 años de servicio sin incluir el concepto de gratificación. </w:t>
      </w:r>
    </w:p>
    <w:p w14:paraId="6C8CEC1D" w14:textId="77777777" w:rsidR="00642FAC" w:rsidRPr="001A399A" w:rsidRDefault="00642FAC" w:rsidP="001A399A">
      <w:pPr>
        <w:spacing w:after="0" w:line="240" w:lineRule="auto"/>
        <w:jc w:val="both"/>
        <w:rPr>
          <w:rFonts w:ascii="Arial" w:hAnsi="Arial" w:cs="Arial"/>
          <w:sz w:val="20"/>
          <w:szCs w:val="20"/>
        </w:rPr>
      </w:pPr>
    </w:p>
    <w:p w14:paraId="754B005B"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El ingreso total de los pensionados en los cargos previamente señalados, incluida la pensión que otorgue el Instituto de Seguridad Social del Estado de Guanajuato y el complemento de pensión que otorgue la Universidad de Guanajuato, no podrá ser superior al monto de salario tabular que corresponde a la categoría académica de Profesor de Tiempo Completo Titular C, incluida la prima de antigüedad.</w:t>
      </w:r>
    </w:p>
    <w:p w14:paraId="59598B95" w14:textId="77777777" w:rsidR="00642FAC" w:rsidRPr="001A399A" w:rsidRDefault="00642FAC" w:rsidP="001A399A">
      <w:pPr>
        <w:spacing w:after="0" w:line="240" w:lineRule="auto"/>
        <w:jc w:val="both"/>
        <w:rPr>
          <w:rFonts w:ascii="Arial" w:hAnsi="Arial" w:cs="Arial"/>
          <w:sz w:val="20"/>
          <w:szCs w:val="20"/>
        </w:rPr>
      </w:pPr>
    </w:p>
    <w:p w14:paraId="5B4CBBF4" w14:textId="77777777" w:rsidR="00642FAC" w:rsidRPr="001A399A" w:rsidRDefault="00642FAC" w:rsidP="001A399A">
      <w:pPr>
        <w:pStyle w:val="Prrafodelista"/>
        <w:numPr>
          <w:ilvl w:val="0"/>
          <w:numId w:val="25"/>
        </w:numPr>
        <w:spacing w:after="0" w:line="240" w:lineRule="auto"/>
        <w:contextualSpacing w:val="0"/>
        <w:jc w:val="both"/>
        <w:rPr>
          <w:rFonts w:ascii="Arial" w:hAnsi="Arial" w:cs="Arial"/>
          <w:sz w:val="20"/>
          <w:szCs w:val="20"/>
        </w:rPr>
      </w:pPr>
      <w:r w:rsidRPr="001A399A">
        <w:rPr>
          <w:rFonts w:ascii="Arial" w:hAnsi="Arial" w:cs="Arial"/>
          <w:sz w:val="20"/>
          <w:szCs w:val="20"/>
        </w:rPr>
        <w:t xml:space="preserve">Indemnización por incapacidad permanente total – </w:t>
      </w:r>
    </w:p>
    <w:p w14:paraId="29D35DE7" w14:textId="77777777" w:rsidR="00642FAC" w:rsidRPr="001A399A" w:rsidRDefault="00642FAC" w:rsidP="001A399A">
      <w:pPr>
        <w:spacing w:after="0" w:line="240" w:lineRule="auto"/>
        <w:jc w:val="both"/>
        <w:rPr>
          <w:rFonts w:ascii="Arial" w:hAnsi="Arial" w:cs="Arial"/>
          <w:sz w:val="20"/>
          <w:szCs w:val="20"/>
        </w:rPr>
      </w:pPr>
    </w:p>
    <w:p w14:paraId="2CC62DBA"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De conformidad con el contrato colectivo de trabajo la Universidad de Guanajuato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49D504FF" w14:textId="77777777" w:rsidR="00642FAC" w:rsidRPr="001A399A" w:rsidRDefault="00642FAC" w:rsidP="001A399A">
      <w:pPr>
        <w:spacing w:after="0" w:line="240" w:lineRule="auto"/>
        <w:jc w:val="both"/>
        <w:rPr>
          <w:rFonts w:ascii="Arial" w:hAnsi="Arial" w:cs="Arial"/>
          <w:sz w:val="20"/>
          <w:szCs w:val="20"/>
        </w:rPr>
      </w:pPr>
    </w:p>
    <w:p w14:paraId="0C2D8EF8"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Adicionalmente, los pensionados contarán con servicio médico, y quienes hayan tenido un nombramiento mayor a 12 horas recibirán ayuda de despensa, prestaciones que serán cubiertas por la Universidad de Guanajuato junto con las aportaciones quincenales.</w:t>
      </w:r>
    </w:p>
    <w:p w14:paraId="4AD27BE3" w14:textId="77777777" w:rsidR="00642FAC" w:rsidRPr="001A399A" w:rsidRDefault="00642FAC" w:rsidP="001A399A">
      <w:pPr>
        <w:spacing w:after="0" w:line="240" w:lineRule="auto"/>
        <w:jc w:val="both"/>
        <w:rPr>
          <w:rFonts w:ascii="Arial" w:hAnsi="Arial" w:cs="Arial"/>
          <w:sz w:val="20"/>
          <w:szCs w:val="20"/>
        </w:rPr>
      </w:pPr>
    </w:p>
    <w:p w14:paraId="07E78B5C"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De los importes de pensión determinados conforme a los párrafos anteriores, el Instituto de Seguridad Social del Estado de Guanajuato establece el monto de pensión que cubrirá. </w:t>
      </w:r>
    </w:p>
    <w:p w14:paraId="58D9FE5E" w14:textId="77777777" w:rsidR="00642FAC" w:rsidRPr="001A399A" w:rsidRDefault="00642FAC" w:rsidP="001A399A">
      <w:pPr>
        <w:spacing w:after="0" w:line="240" w:lineRule="auto"/>
        <w:jc w:val="both"/>
        <w:rPr>
          <w:rFonts w:ascii="Arial" w:hAnsi="Arial" w:cs="Arial"/>
          <w:sz w:val="20"/>
          <w:szCs w:val="20"/>
        </w:rPr>
      </w:pPr>
    </w:p>
    <w:p w14:paraId="3E0053F6" w14:textId="77777777" w:rsidR="00642FAC" w:rsidRPr="001A399A" w:rsidRDefault="00642FAC" w:rsidP="001A399A">
      <w:pPr>
        <w:spacing w:after="0" w:line="240" w:lineRule="auto"/>
        <w:jc w:val="both"/>
        <w:rPr>
          <w:rFonts w:ascii="Arial" w:hAnsi="Arial" w:cs="Arial"/>
          <w:sz w:val="20"/>
          <w:szCs w:val="20"/>
        </w:rPr>
      </w:pPr>
      <w:bookmarkStart w:id="5" w:name="OLE_LINK2"/>
      <w:bookmarkStart w:id="6" w:name="OLE_LINK3"/>
      <w:r w:rsidRPr="001A399A">
        <w:rPr>
          <w:rFonts w:ascii="Arial" w:hAnsi="Arial" w:cs="Arial"/>
          <w:sz w:val="20"/>
          <w:szCs w:val="20"/>
        </w:rPr>
        <w:t>A partir del ejercicio 2025, el Consejo Nacional de Armonización Contable ha establecido a través de las Reglas de Registro y Valuación del Patrimonio, que los entes públicos deben reconocer un pasivo o una estimación por beneficios a los empleados si se reunen la totalidad dde los siguientes criterios:</w:t>
      </w:r>
    </w:p>
    <w:p w14:paraId="2DA1C8DA" w14:textId="77777777" w:rsidR="00642FAC" w:rsidRPr="001A399A" w:rsidRDefault="00642FAC" w:rsidP="001A399A">
      <w:pPr>
        <w:spacing w:after="0" w:line="240" w:lineRule="auto"/>
        <w:jc w:val="both"/>
        <w:rPr>
          <w:rFonts w:ascii="Arial" w:hAnsi="Arial" w:cs="Arial"/>
          <w:sz w:val="20"/>
          <w:szCs w:val="20"/>
        </w:rPr>
      </w:pPr>
    </w:p>
    <w:p w14:paraId="32A32DC9" w14:textId="77777777" w:rsidR="00642FAC" w:rsidRPr="001A399A" w:rsidRDefault="00642FAC" w:rsidP="001A399A">
      <w:pPr>
        <w:pStyle w:val="Prrafodelista"/>
        <w:numPr>
          <w:ilvl w:val="0"/>
          <w:numId w:val="18"/>
        </w:numPr>
        <w:spacing w:after="0" w:line="240" w:lineRule="auto"/>
        <w:contextualSpacing w:val="0"/>
        <w:jc w:val="both"/>
        <w:rPr>
          <w:rFonts w:ascii="Arial" w:hAnsi="Arial" w:cs="Arial"/>
          <w:sz w:val="20"/>
          <w:szCs w:val="20"/>
        </w:rPr>
      </w:pPr>
      <w:r w:rsidRPr="001A399A">
        <w:rPr>
          <w:rFonts w:ascii="Arial" w:hAnsi="Arial" w:cs="Arial"/>
          <w:sz w:val="20"/>
          <w:szCs w:val="20"/>
        </w:rPr>
        <w:t>Existe una obligación presente, legal o asumida, de efectuar pagos por beneficios a los empleados, en el futuro, como consecuencia de sucesos ocurridos en el pasado;</w:t>
      </w:r>
    </w:p>
    <w:p w14:paraId="392042A6" w14:textId="77777777" w:rsidR="00642FAC" w:rsidRPr="001A399A" w:rsidRDefault="00642FAC" w:rsidP="001A399A">
      <w:pPr>
        <w:pStyle w:val="Prrafodelista"/>
        <w:numPr>
          <w:ilvl w:val="0"/>
          <w:numId w:val="18"/>
        </w:numPr>
        <w:spacing w:after="0" w:line="240" w:lineRule="auto"/>
        <w:contextualSpacing w:val="0"/>
        <w:jc w:val="both"/>
        <w:rPr>
          <w:rFonts w:ascii="Arial" w:hAnsi="Arial" w:cs="Arial"/>
          <w:sz w:val="20"/>
          <w:szCs w:val="20"/>
        </w:rPr>
      </w:pPr>
      <w:r w:rsidRPr="001A399A">
        <w:rPr>
          <w:rFonts w:ascii="Arial" w:hAnsi="Arial" w:cs="Arial"/>
          <w:sz w:val="20"/>
          <w:szCs w:val="20"/>
        </w:rPr>
        <w:t>La obligación del ente público con los empleados es atribuible a servicios ya prestados y, por ende, dichos derechos están devengados;</w:t>
      </w:r>
    </w:p>
    <w:p w14:paraId="25A9B0D9" w14:textId="77777777" w:rsidR="00642FAC" w:rsidRPr="001A399A" w:rsidRDefault="00642FAC" w:rsidP="001A399A">
      <w:pPr>
        <w:pStyle w:val="Prrafodelista"/>
        <w:numPr>
          <w:ilvl w:val="0"/>
          <w:numId w:val="18"/>
        </w:numPr>
        <w:spacing w:after="0" w:line="240" w:lineRule="auto"/>
        <w:contextualSpacing w:val="0"/>
        <w:jc w:val="both"/>
        <w:rPr>
          <w:rFonts w:ascii="Arial" w:hAnsi="Arial" w:cs="Arial"/>
          <w:sz w:val="20"/>
          <w:szCs w:val="20"/>
        </w:rPr>
      </w:pPr>
      <w:r w:rsidRPr="001A399A">
        <w:rPr>
          <w:rFonts w:ascii="Arial" w:hAnsi="Arial" w:cs="Arial"/>
          <w:sz w:val="20"/>
          <w:szCs w:val="20"/>
        </w:rPr>
        <w:t>Es probable el pago de los beneficios; y</w:t>
      </w:r>
    </w:p>
    <w:p w14:paraId="79F246CD" w14:textId="77777777" w:rsidR="00642FAC" w:rsidRPr="001A399A" w:rsidRDefault="00642FAC" w:rsidP="001A399A">
      <w:pPr>
        <w:pStyle w:val="Prrafodelista"/>
        <w:numPr>
          <w:ilvl w:val="0"/>
          <w:numId w:val="18"/>
        </w:numPr>
        <w:spacing w:after="0" w:line="240" w:lineRule="auto"/>
        <w:contextualSpacing w:val="0"/>
        <w:jc w:val="both"/>
        <w:rPr>
          <w:rFonts w:ascii="Arial" w:hAnsi="Arial" w:cs="Arial"/>
          <w:sz w:val="20"/>
          <w:szCs w:val="20"/>
        </w:rPr>
      </w:pPr>
      <w:r w:rsidRPr="001A399A">
        <w:rPr>
          <w:rFonts w:ascii="Arial" w:hAnsi="Arial" w:cs="Arial"/>
          <w:sz w:val="20"/>
          <w:szCs w:val="20"/>
        </w:rPr>
        <w:t>El monto de los beneficios puede ser cuantificado de manera confiable.</w:t>
      </w:r>
    </w:p>
    <w:bookmarkEnd w:id="5"/>
    <w:p w14:paraId="5E931BBC" w14:textId="77777777" w:rsidR="00642FAC" w:rsidRPr="001A399A" w:rsidRDefault="00642FAC" w:rsidP="001A399A">
      <w:pPr>
        <w:spacing w:after="0" w:line="240" w:lineRule="auto"/>
        <w:jc w:val="both"/>
        <w:rPr>
          <w:rFonts w:ascii="Arial" w:hAnsi="Arial" w:cs="Arial"/>
          <w:sz w:val="20"/>
          <w:szCs w:val="20"/>
        </w:rPr>
      </w:pPr>
    </w:p>
    <w:bookmarkEnd w:id="6"/>
    <w:p w14:paraId="4C9BDF7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 xml:space="preserve">Hasta este momento, el Consejo Nacional de Armonización Contable no ha emitido reglas adicionales que complementen la metodología de valuación y reconocimiento de pasivos laborales, por lo que la Universidad de Guanajuato no ha modificado sus políticas para el reconocimiento de beneficios para sus empleados. </w:t>
      </w:r>
    </w:p>
    <w:p w14:paraId="12D91F8B" w14:textId="77777777" w:rsidR="00642FAC" w:rsidRDefault="00642FAC" w:rsidP="001A399A">
      <w:pPr>
        <w:tabs>
          <w:tab w:val="left" w:leader="underscore" w:pos="9639"/>
        </w:tabs>
        <w:spacing w:after="0" w:line="240" w:lineRule="auto"/>
        <w:jc w:val="both"/>
        <w:rPr>
          <w:rFonts w:ascii="Arial" w:hAnsi="Arial" w:cs="Arial"/>
          <w:sz w:val="20"/>
          <w:szCs w:val="20"/>
        </w:rPr>
      </w:pPr>
    </w:p>
    <w:p w14:paraId="66680990" w14:textId="77777777" w:rsidR="00637D15" w:rsidRDefault="00637D15" w:rsidP="001A399A">
      <w:pPr>
        <w:tabs>
          <w:tab w:val="left" w:leader="underscore" w:pos="9639"/>
        </w:tabs>
        <w:spacing w:after="0" w:line="240" w:lineRule="auto"/>
        <w:jc w:val="both"/>
        <w:rPr>
          <w:rFonts w:ascii="Arial" w:hAnsi="Arial" w:cs="Arial"/>
          <w:sz w:val="20"/>
          <w:szCs w:val="20"/>
        </w:rPr>
      </w:pPr>
    </w:p>
    <w:p w14:paraId="0555B621" w14:textId="77777777" w:rsidR="00637D15" w:rsidRDefault="00637D15" w:rsidP="001A399A">
      <w:pPr>
        <w:tabs>
          <w:tab w:val="left" w:leader="underscore" w:pos="9639"/>
        </w:tabs>
        <w:spacing w:after="0" w:line="240" w:lineRule="auto"/>
        <w:jc w:val="both"/>
        <w:rPr>
          <w:rFonts w:ascii="Arial" w:hAnsi="Arial" w:cs="Arial"/>
          <w:sz w:val="20"/>
          <w:szCs w:val="20"/>
        </w:rPr>
      </w:pPr>
    </w:p>
    <w:p w14:paraId="51F16F6B" w14:textId="77777777" w:rsidR="00637D15" w:rsidRPr="001A399A" w:rsidRDefault="00637D15" w:rsidP="001A399A">
      <w:pPr>
        <w:tabs>
          <w:tab w:val="left" w:leader="underscore" w:pos="9639"/>
        </w:tabs>
        <w:spacing w:after="0" w:line="240" w:lineRule="auto"/>
        <w:jc w:val="both"/>
        <w:rPr>
          <w:rFonts w:ascii="Arial" w:hAnsi="Arial" w:cs="Arial"/>
          <w:sz w:val="20"/>
          <w:szCs w:val="20"/>
        </w:rPr>
      </w:pPr>
    </w:p>
    <w:p w14:paraId="2E9BD144" w14:textId="77777777" w:rsidR="00642FAC" w:rsidRPr="001A399A" w:rsidRDefault="00642FAC" w:rsidP="001A399A">
      <w:pPr>
        <w:spacing w:after="0" w:line="240" w:lineRule="auto"/>
        <w:jc w:val="both"/>
        <w:rPr>
          <w:rFonts w:ascii="Arial" w:hAnsi="Arial" w:cs="Arial"/>
          <w:sz w:val="20"/>
          <w:szCs w:val="20"/>
        </w:rPr>
      </w:pPr>
    </w:p>
    <w:p w14:paraId="2AB7F944"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f)</w:t>
      </w:r>
      <w:r w:rsidRPr="001A399A">
        <w:rPr>
          <w:rFonts w:ascii="Arial" w:hAnsi="Arial" w:cs="Arial"/>
          <w:sz w:val="20"/>
          <w:szCs w:val="20"/>
        </w:rPr>
        <w:t xml:space="preserve"> Provisiones para pensiones:</w:t>
      </w:r>
    </w:p>
    <w:p w14:paraId="6EE27E3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2100B80" w14:textId="77777777" w:rsidR="00642FAC" w:rsidRPr="001A399A" w:rsidRDefault="00642FAC" w:rsidP="001A399A">
      <w:pPr>
        <w:tabs>
          <w:tab w:val="left" w:pos="1134"/>
          <w:tab w:val="left" w:pos="6379"/>
          <w:tab w:val="right" w:pos="7655"/>
          <w:tab w:val="left" w:pos="8080"/>
          <w:tab w:val="right" w:pos="9356"/>
        </w:tabs>
        <w:spacing w:after="0" w:line="240" w:lineRule="auto"/>
        <w:jc w:val="both"/>
        <w:rPr>
          <w:rFonts w:ascii="Arial" w:hAnsi="Arial" w:cs="Arial"/>
          <w:sz w:val="20"/>
          <w:szCs w:val="20"/>
        </w:rPr>
      </w:pPr>
      <w:r w:rsidRPr="001A399A">
        <w:rPr>
          <w:rFonts w:ascii="Arial" w:hAnsi="Arial" w:cs="Arial"/>
          <w:sz w:val="20"/>
          <w:szCs w:val="20"/>
        </w:rPr>
        <w:t xml:space="preserve">Al 31 de diciembre del 2025 la Universidad ha reconocido en sus provisiones $1,135,757,510 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3C95DDFB" w14:textId="77777777" w:rsidR="00642FAC" w:rsidRPr="001A399A" w:rsidRDefault="00642FAC" w:rsidP="001A399A">
      <w:pPr>
        <w:tabs>
          <w:tab w:val="left" w:pos="1134"/>
          <w:tab w:val="left" w:pos="6379"/>
          <w:tab w:val="right" w:pos="7655"/>
          <w:tab w:val="left" w:pos="8080"/>
          <w:tab w:val="right" w:pos="9356"/>
        </w:tabs>
        <w:spacing w:after="0" w:line="240" w:lineRule="auto"/>
        <w:jc w:val="both"/>
        <w:rPr>
          <w:rFonts w:ascii="Arial" w:hAnsi="Arial" w:cs="Arial"/>
          <w:sz w:val="20"/>
          <w:szCs w:val="20"/>
        </w:rPr>
      </w:pPr>
    </w:p>
    <w:p w14:paraId="5C71ADAB" w14:textId="77777777" w:rsidR="00642FAC" w:rsidRDefault="00642FAC" w:rsidP="001A399A">
      <w:pPr>
        <w:tabs>
          <w:tab w:val="left" w:pos="1134"/>
          <w:tab w:val="left" w:pos="6379"/>
          <w:tab w:val="right" w:pos="7655"/>
          <w:tab w:val="left" w:pos="8080"/>
          <w:tab w:val="right" w:pos="9356"/>
        </w:tabs>
        <w:spacing w:after="0" w:line="240" w:lineRule="auto"/>
        <w:jc w:val="both"/>
        <w:rPr>
          <w:rFonts w:ascii="Arial" w:hAnsi="Arial" w:cs="Arial"/>
          <w:sz w:val="20"/>
          <w:szCs w:val="20"/>
        </w:rPr>
      </w:pPr>
      <w:r w:rsidRPr="001A399A">
        <w:rPr>
          <w:rFonts w:ascii="Arial" w:hAnsi="Arial" w:cs="Arial"/>
          <w:sz w:val="20"/>
          <w:szCs w:val="20"/>
        </w:rPr>
        <w:t xml:space="preserve">El plazo para aplicar la provisión referida en el párrafo anterior no se encuentra determinado de manera específica, sino que el mismo corresponde a los eventos que se hubiesen actualizado durante cada ejercicio; </w:t>
      </w:r>
      <w:r w:rsidRPr="001A399A">
        <w:rPr>
          <w:rFonts w:ascii="Arial" w:hAnsi="Arial" w:cs="Arial"/>
          <w:sz w:val="20"/>
          <w:szCs w:val="20"/>
        </w:rPr>
        <w:lastRenderedPageBreak/>
        <w:t>sin embargo, es importante mencionar que durante el periodo comprendido del 1 de enero al 31 de diciembre del 2025 no se han efectuado pagos con cargo a dicha provisión.</w:t>
      </w:r>
    </w:p>
    <w:p w14:paraId="24761BA3" w14:textId="77777777" w:rsidR="00637D15" w:rsidRDefault="00637D15" w:rsidP="001A399A">
      <w:pPr>
        <w:tabs>
          <w:tab w:val="left" w:pos="1134"/>
          <w:tab w:val="left" w:pos="6379"/>
          <w:tab w:val="right" w:pos="7655"/>
          <w:tab w:val="left" w:pos="8080"/>
          <w:tab w:val="right" w:pos="9356"/>
        </w:tabs>
        <w:spacing w:after="0" w:line="240" w:lineRule="auto"/>
        <w:jc w:val="both"/>
        <w:rPr>
          <w:rFonts w:ascii="Arial" w:hAnsi="Arial" w:cs="Arial"/>
          <w:sz w:val="20"/>
          <w:szCs w:val="20"/>
        </w:rPr>
      </w:pPr>
    </w:p>
    <w:p w14:paraId="741393B1" w14:textId="77777777" w:rsidR="00637D15" w:rsidRPr="001A399A" w:rsidRDefault="00637D15" w:rsidP="001A399A">
      <w:pPr>
        <w:tabs>
          <w:tab w:val="left" w:pos="1134"/>
          <w:tab w:val="left" w:pos="6379"/>
          <w:tab w:val="right" w:pos="7655"/>
          <w:tab w:val="left" w:pos="8080"/>
          <w:tab w:val="right" w:pos="9356"/>
        </w:tabs>
        <w:spacing w:after="0" w:line="240" w:lineRule="auto"/>
        <w:jc w:val="both"/>
        <w:rPr>
          <w:rFonts w:ascii="Arial" w:hAnsi="Arial" w:cs="Arial"/>
          <w:sz w:val="20"/>
          <w:szCs w:val="20"/>
        </w:rPr>
      </w:pPr>
    </w:p>
    <w:p w14:paraId="10204E8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g)</w:t>
      </w:r>
      <w:r w:rsidRPr="001A399A">
        <w:rPr>
          <w:rFonts w:ascii="Arial" w:hAnsi="Arial" w:cs="Arial"/>
          <w:sz w:val="20"/>
          <w:szCs w:val="20"/>
        </w:rPr>
        <w:t xml:space="preserve"> Reservas:</w:t>
      </w:r>
    </w:p>
    <w:p w14:paraId="4271E0A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5C4E67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0DCA8E7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EC760C4" w14:textId="77777777" w:rsidR="00642FAC" w:rsidRPr="001A399A" w:rsidRDefault="00642FAC" w:rsidP="001A399A">
      <w:pPr>
        <w:pStyle w:val="Prrafodelista"/>
        <w:numPr>
          <w:ilvl w:val="0"/>
          <w:numId w:val="1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100% sobre saldos a cargo empleados inactivos.</w:t>
      </w:r>
    </w:p>
    <w:p w14:paraId="31D7FF45" w14:textId="77777777" w:rsidR="00642FAC" w:rsidRPr="001A399A" w:rsidRDefault="00642FAC" w:rsidP="001A399A">
      <w:pPr>
        <w:pStyle w:val="Prrafodelista"/>
        <w:numPr>
          <w:ilvl w:val="0"/>
          <w:numId w:val="1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 xml:space="preserve">33% sobre cuentas sin movimientos durante los últimos 12 meses. </w:t>
      </w:r>
    </w:p>
    <w:p w14:paraId="4668B928" w14:textId="77777777" w:rsidR="00642FAC" w:rsidRPr="001A399A" w:rsidRDefault="00642FAC" w:rsidP="001A399A">
      <w:pPr>
        <w:pStyle w:val="Prrafodelista"/>
        <w:numPr>
          <w:ilvl w:val="0"/>
          <w:numId w:val="1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67% sobre cuentas sin movimientos durante los últimos 24 meses.</w:t>
      </w:r>
    </w:p>
    <w:p w14:paraId="3A940B20" w14:textId="77777777" w:rsidR="00642FAC" w:rsidRPr="001A399A" w:rsidRDefault="00642FAC" w:rsidP="001A399A">
      <w:pPr>
        <w:pStyle w:val="Prrafodelista"/>
        <w:numPr>
          <w:ilvl w:val="0"/>
          <w:numId w:val="17"/>
        </w:numPr>
        <w:tabs>
          <w:tab w:val="left" w:leader="underscore" w:pos="9639"/>
        </w:tabs>
        <w:spacing w:after="0" w:line="240" w:lineRule="auto"/>
        <w:contextualSpacing w:val="0"/>
        <w:jc w:val="both"/>
        <w:rPr>
          <w:rFonts w:ascii="Arial" w:hAnsi="Arial" w:cs="Arial"/>
          <w:sz w:val="20"/>
          <w:szCs w:val="20"/>
        </w:rPr>
      </w:pPr>
      <w:r w:rsidRPr="001A399A">
        <w:rPr>
          <w:rFonts w:ascii="Arial" w:hAnsi="Arial" w:cs="Arial"/>
          <w:sz w:val="20"/>
          <w:szCs w:val="20"/>
        </w:rPr>
        <w:t>100% sobre cuentas sin movimientos durante los últimos 36 meses.</w:t>
      </w:r>
    </w:p>
    <w:p w14:paraId="5C7B8B10" w14:textId="77777777" w:rsidR="00642FAC" w:rsidRPr="001A399A" w:rsidRDefault="00642FAC" w:rsidP="001A399A">
      <w:pPr>
        <w:autoSpaceDE w:val="0"/>
        <w:autoSpaceDN w:val="0"/>
        <w:adjustRightInd w:val="0"/>
        <w:spacing w:after="0" w:line="240" w:lineRule="auto"/>
        <w:jc w:val="both"/>
        <w:rPr>
          <w:rFonts w:ascii="Arial" w:hAnsi="Arial" w:cs="Arial"/>
          <w:sz w:val="20"/>
          <w:szCs w:val="20"/>
        </w:rPr>
      </w:pPr>
    </w:p>
    <w:p w14:paraId="0A92C6BF" w14:textId="77777777" w:rsidR="00642FAC" w:rsidRDefault="00642FAC" w:rsidP="001A399A">
      <w:pPr>
        <w:autoSpaceDE w:val="0"/>
        <w:autoSpaceDN w:val="0"/>
        <w:adjustRightInd w:val="0"/>
        <w:spacing w:after="0" w:line="240" w:lineRule="auto"/>
        <w:jc w:val="both"/>
        <w:rPr>
          <w:rFonts w:ascii="Arial" w:hAnsi="Arial" w:cs="Arial"/>
          <w:sz w:val="20"/>
          <w:szCs w:val="20"/>
        </w:rPr>
      </w:pPr>
      <w:r w:rsidRPr="001A399A">
        <w:rPr>
          <w:rFonts w:ascii="Arial" w:hAnsi="Arial" w:cs="Arial"/>
          <w:sz w:val="20"/>
          <w:szCs w:val="20"/>
        </w:rPr>
        <w:t>La actualización de la estimación de cuentas incobrables se reconoce en resultados dentro del rubro de estimaciones, depreciaciones, deterioros, obsolescencia y amortizaciones.</w:t>
      </w:r>
    </w:p>
    <w:p w14:paraId="4EB14CEB" w14:textId="77777777" w:rsidR="00637D15" w:rsidRPr="001A399A" w:rsidRDefault="00637D15" w:rsidP="001A399A">
      <w:pPr>
        <w:autoSpaceDE w:val="0"/>
        <w:autoSpaceDN w:val="0"/>
        <w:adjustRightInd w:val="0"/>
        <w:spacing w:after="0" w:line="240" w:lineRule="auto"/>
        <w:jc w:val="both"/>
        <w:rPr>
          <w:rFonts w:ascii="Arial" w:hAnsi="Arial" w:cs="Arial"/>
          <w:sz w:val="20"/>
          <w:szCs w:val="20"/>
        </w:rPr>
      </w:pPr>
    </w:p>
    <w:p w14:paraId="3BDF5060" w14:textId="77777777" w:rsidR="00642FAC" w:rsidRPr="001A399A" w:rsidRDefault="00642FAC" w:rsidP="001A399A">
      <w:pPr>
        <w:autoSpaceDE w:val="0"/>
        <w:autoSpaceDN w:val="0"/>
        <w:adjustRightInd w:val="0"/>
        <w:spacing w:after="0" w:line="240" w:lineRule="auto"/>
        <w:jc w:val="both"/>
        <w:rPr>
          <w:rFonts w:ascii="Arial" w:hAnsi="Arial" w:cs="Arial"/>
          <w:sz w:val="20"/>
          <w:szCs w:val="20"/>
        </w:rPr>
      </w:pPr>
    </w:p>
    <w:p w14:paraId="011B353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h)</w:t>
      </w:r>
      <w:r w:rsidRPr="001A399A">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0BD442C4" w14:textId="77777777" w:rsidR="00642FAC" w:rsidRPr="001A399A" w:rsidRDefault="00642FAC" w:rsidP="001A399A">
      <w:pPr>
        <w:autoSpaceDE w:val="0"/>
        <w:autoSpaceDN w:val="0"/>
        <w:adjustRightInd w:val="0"/>
        <w:spacing w:after="0" w:line="240" w:lineRule="auto"/>
        <w:jc w:val="both"/>
        <w:rPr>
          <w:rFonts w:ascii="Arial" w:hAnsi="Arial" w:cs="Arial"/>
          <w:sz w:val="20"/>
          <w:szCs w:val="20"/>
        </w:rPr>
      </w:pPr>
    </w:p>
    <w:p w14:paraId="691201E3" w14:textId="77777777" w:rsidR="00642FAC" w:rsidRDefault="00642FAC" w:rsidP="001A399A">
      <w:pPr>
        <w:autoSpaceDE w:val="0"/>
        <w:autoSpaceDN w:val="0"/>
        <w:adjustRightInd w:val="0"/>
        <w:spacing w:after="0" w:line="240" w:lineRule="auto"/>
        <w:jc w:val="both"/>
        <w:rPr>
          <w:rFonts w:ascii="Arial" w:hAnsi="Arial" w:cs="Arial"/>
          <w:sz w:val="20"/>
          <w:szCs w:val="20"/>
        </w:rPr>
      </w:pPr>
      <w:r w:rsidRPr="001A399A">
        <w:rPr>
          <w:rFonts w:ascii="Arial" w:hAnsi="Arial" w:cs="Arial"/>
          <w:sz w:val="20"/>
          <w:szCs w:val="20"/>
        </w:rPr>
        <w:t>Durante el ejercicio que concluyó el 31 de diciembre del 2025 no se aplicaron nuevas políticas contables ni se modificaron las que se venían aplicando para el reconocimiento de sus operaciones contables de manera sustantiva.</w:t>
      </w:r>
    </w:p>
    <w:p w14:paraId="0047E375" w14:textId="77777777" w:rsidR="00637D15" w:rsidRPr="001A399A" w:rsidRDefault="00637D15" w:rsidP="001A399A">
      <w:pPr>
        <w:autoSpaceDE w:val="0"/>
        <w:autoSpaceDN w:val="0"/>
        <w:adjustRightInd w:val="0"/>
        <w:spacing w:after="0" w:line="240" w:lineRule="auto"/>
        <w:jc w:val="both"/>
        <w:rPr>
          <w:rFonts w:ascii="Arial" w:hAnsi="Arial" w:cs="Arial"/>
          <w:sz w:val="20"/>
          <w:szCs w:val="20"/>
        </w:rPr>
      </w:pPr>
    </w:p>
    <w:p w14:paraId="72DF5F0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E4CA358"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i)</w:t>
      </w:r>
      <w:r w:rsidRPr="001A399A">
        <w:rPr>
          <w:rFonts w:ascii="Arial" w:hAnsi="Arial" w:cs="Arial"/>
          <w:sz w:val="20"/>
          <w:szCs w:val="20"/>
        </w:rPr>
        <w:t xml:space="preserve"> Reclasificaciones</w:t>
      </w:r>
    </w:p>
    <w:p w14:paraId="5D235C1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09067DF"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Durante el ejercicio que concluyó el 31 de diciembre de 2025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19B612D4" w14:textId="77777777" w:rsidR="00637D15" w:rsidRPr="001A399A" w:rsidRDefault="00637D15" w:rsidP="001A399A">
      <w:pPr>
        <w:tabs>
          <w:tab w:val="left" w:leader="underscore" w:pos="9639"/>
        </w:tabs>
        <w:spacing w:after="0" w:line="240" w:lineRule="auto"/>
        <w:jc w:val="both"/>
        <w:rPr>
          <w:rFonts w:ascii="Arial" w:hAnsi="Arial" w:cs="Arial"/>
          <w:sz w:val="20"/>
          <w:szCs w:val="20"/>
        </w:rPr>
      </w:pPr>
    </w:p>
    <w:p w14:paraId="2EEDB279" w14:textId="77777777" w:rsidR="00642FAC" w:rsidRPr="001A399A" w:rsidRDefault="00642FAC" w:rsidP="001A399A">
      <w:pPr>
        <w:tabs>
          <w:tab w:val="left" w:leader="underscore" w:pos="9639"/>
        </w:tabs>
        <w:spacing w:after="0" w:line="240" w:lineRule="auto"/>
        <w:jc w:val="both"/>
        <w:rPr>
          <w:rFonts w:ascii="Arial" w:hAnsi="Arial" w:cs="Arial"/>
          <w:b/>
          <w:sz w:val="20"/>
          <w:szCs w:val="20"/>
        </w:rPr>
      </w:pPr>
    </w:p>
    <w:p w14:paraId="6FE4AB5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j)</w:t>
      </w:r>
      <w:r w:rsidRPr="001A399A">
        <w:rPr>
          <w:rFonts w:ascii="Arial" w:hAnsi="Arial" w:cs="Arial"/>
          <w:sz w:val="20"/>
          <w:szCs w:val="20"/>
        </w:rPr>
        <w:t xml:space="preserve"> Depuración y cancelación de saldos:</w:t>
      </w:r>
    </w:p>
    <w:p w14:paraId="328E0B36" w14:textId="77777777" w:rsidR="00642FAC" w:rsidRPr="001A399A" w:rsidRDefault="00642FAC" w:rsidP="001A399A">
      <w:pPr>
        <w:autoSpaceDE w:val="0"/>
        <w:autoSpaceDN w:val="0"/>
        <w:adjustRightInd w:val="0"/>
        <w:spacing w:after="0" w:line="240" w:lineRule="auto"/>
        <w:jc w:val="both"/>
        <w:rPr>
          <w:rFonts w:ascii="Arial" w:hAnsi="Arial" w:cs="Arial"/>
          <w:sz w:val="20"/>
          <w:szCs w:val="20"/>
        </w:rPr>
      </w:pPr>
    </w:p>
    <w:p w14:paraId="0E50F1F5" w14:textId="77777777" w:rsidR="00642FAC" w:rsidRDefault="00642FAC" w:rsidP="001A399A">
      <w:pPr>
        <w:autoSpaceDE w:val="0"/>
        <w:autoSpaceDN w:val="0"/>
        <w:adjustRightInd w:val="0"/>
        <w:spacing w:after="0" w:line="240" w:lineRule="auto"/>
        <w:jc w:val="both"/>
        <w:rPr>
          <w:rFonts w:ascii="Arial" w:hAnsi="Arial" w:cs="Arial"/>
          <w:sz w:val="20"/>
          <w:szCs w:val="20"/>
        </w:rPr>
      </w:pPr>
      <w:r w:rsidRPr="001A399A">
        <w:rPr>
          <w:rFonts w:ascii="Arial" w:hAnsi="Arial" w:cs="Arial"/>
          <w:sz w:val="20"/>
          <w:szCs w:val="20"/>
        </w:rPr>
        <w:t>La Universidad está llevando a cabo un análisis de todas las cuentas necesarias para el registro contable de las operaciones presupuestarias y contables, clasificadas en activo, pasivo y hacienda pública o patrimonio, y de resultados.</w:t>
      </w:r>
    </w:p>
    <w:p w14:paraId="21ED188E" w14:textId="77777777" w:rsidR="00637D15" w:rsidRPr="001A399A" w:rsidRDefault="00637D15" w:rsidP="001A399A">
      <w:pPr>
        <w:autoSpaceDE w:val="0"/>
        <w:autoSpaceDN w:val="0"/>
        <w:adjustRightInd w:val="0"/>
        <w:spacing w:after="0" w:line="240" w:lineRule="auto"/>
        <w:jc w:val="both"/>
        <w:rPr>
          <w:rFonts w:ascii="Arial" w:hAnsi="Arial" w:cs="Arial"/>
          <w:sz w:val="20"/>
          <w:szCs w:val="20"/>
        </w:rPr>
      </w:pPr>
    </w:p>
    <w:p w14:paraId="525F0797" w14:textId="77777777" w:rsidR="00642FAC" w:rsidRPr="001A399A" w:rsidRDefault="00642FAC" w:rsidP="001A399A">
      <w:pPr>
        <w:spacing w:after="0" w:line="240" w:lineRule="auto"/>
        <w:jc w:val="both"/>
        <w:rPr>
          <w:rFonts w:ascii="Arial" w:hAnsi="Arial" w:cs="Arial"/>
          <w:sz w:val="20"/>
          <w:szCs w:val="20"/>
        </w:rPr>
      </w:pPr>
    </w:p>
    <w:p w14:paraId="22B2FF8D"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7" w:name="_Toc161472871"/>
      <w:r w:rsidRPr="001A399A">
        <w:rPr>
          <w:rFonts w:ascii="Arial" w:hAnsi="Arial" w:cs="Arial"/>
          <w:b/>
          <w:color w:val="auto"/>
          <w:sz w:val="20"/>
          <w:szCs w:val="20"/>
        </w:rPr>
        <w:t>6. Posición en Moneda Extranjera y Protección por Riesgo Cambiario:</w:t>
      </w:r>
      <w:bookmarkEnd w:id="7"/>
    </w:p>
    <w:p w14:paraId="480299F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6D88499"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informará sobre:</w:t>
      </w:r>
    </w:p>
    <w:p w14:paraId="7743A935" w14:textId="77777777" w:rsidR="00E42413" w:rsidRPr="001A399A" w:rsidRDefault="00E42413" w:rsidP="001A399A">
      <w:pPr>
        <w:tabs>
          <w:tab w:val="left" w:leader="underscore" w:pos="9639"/>
        </w:tabs>
        <w:spacing w:after="0" w:line="240" w:lineRule="auto"/>
        <w:jc w:val="both"/>
        <w:rPr>
          <w:rFonts w:ascii="Arial" w:hAnsi="Arial" w:cs="Arial"/>
          <w:sz w:val="20"/>
          <w:szCs w:val="20"/>
        </w:rPr>
      </w:pPr>
    </w:p>
    <w:p w14:paraId="5B63B773"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Activos en moneda extranjera:</w:t>
      </w:r>
    </w:p>
    <w:p w14:paraId="1B8196C3"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W w:w="9062" w:type="dxa"/>
        <w:jc w:val="center"/>
        <w:tblCellMar>
          <w:left w:w="70" w:type="dxa"/>
          <w:right w:w="70" w:type="dxa"/>
        </w:tblCellMar>
        <w:tblLook w:val="04A0" w:firstRow="1" w:lastRow="0" w:firstColumn="1" w:lastColumn="0" w:noHBand="0" w:noVBand="1"/>
      </w:tblPr>
      <w:tblGrid>
        <w:gridCol w:w="4911"/>
        <w:gridCol w:w="4151"/>
      </w:tblGrid>
      <w:tr w:rsidR="00642FAC" w:rsidRPr="00B55C4E" w14:paraId="415C2F50" w14:textId="77777777" w:rsidTr="00E42413">
        <w:trPr>
          <w:trHeight w:val="317"/>
          <w:jc w:val="center"/>
        </w:trPr>
        <w:tc>
          <w:tcPr>
            <w:tcW w:w="4911" w:type="dxa"/>
            <w:tcBorders>
              <w:top w:val="single" w:sz="8" w:space="0" w:color="auto"/>
              <w:left w:val="single" w:sz="8" w:space="0" w:color="auto"/>
              <w:bottom w:val="single" w:sz="8" w:space="0" w:color="auto"/>
              <w:right w:val="single" w:sz="8" w:space="0" w:color="auto"/>
            </w:tcBorders>
            <w:vAlign w:val="center"/>
            <w:hideMark/>
          </w:tcPr>
          <w:p w14:paraId="55818477"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Cuenta Contable</w:t>
            </w:r>
          </w:p>
        </w:tc>
        <w:tc>
          <w:tcPr>
            <w:tcW w:w="4151" w:type="dxa"/>
            <w:tcBorders>
              <w:top w:val="single" w:sz="8" w:space="0" w:color="auto"/>
              <w:left w:val="nil"/>
              <w:bottom w:val="single" w:sz="8" w:space="0" w:color="auto"/>
              <w:right w:val="single" w:sz="8" w:space="0" w:color="auto"/>
            </w:tcBorders>
            <w:vAlign w:val="center"/>
            <w:hideMark/>
          </w:tcPr>
          <w:p w14:paraId="64C3A9F6"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Nombre</w:t>
            </w:r>
          </w:p>
        </w:tc>
      </w:tr>
      <w:tr w:rsidR="00642FAC" w:rsidRPr="00B55C4E" w14:paraId="17B61458" w14:textId="77777777" w:rsidTr="00E42413">
        <w:trPr>
          <w:trHeight w:val="317"/>
          <w:jc w:val="center"/>
        </w:trPr>
        <w:tc>
          <w:tcPr>
            <w:tcW w:w="4911" w:type="dxa"/>
            <w:tcBorders>
              <w:top w:val="nil"/>
              <w:left w:val="single" w:sz="8" w:space="0" w:color="auto"/>
              <w:bottom w:val="single" w:sz="8" w:space="0" w:color="auto"/>
              <w:right w:val="single" w:sz="8" w:space="0" w:color="auto"/>
            </w:tcBorders>
            <w:vAlign w:val="center"/>
          </w:tcPr>
          <w:p w14:paraId="088FEDF4"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1112200010</w:t>
            </w:r>
          </w:p>
        </w:tc>
        <w:tc>
          <w:tcPr>
            <w:tcW w:w="4151" w:type="dxa"/>
            <w:tcBorders>
              <w:top w:val="nil"/>
              <w:left w:val="nil"/>
              <w:bottom w:val="single" w:sz="8" w:space="0" w:color="auto"/>
              <w:right w:val="single" w:sz="8" w:space="0" w:color="auto"/>
            </w:tcBorders>
            <w:vAlign w:val="center"/>
          </w:tcPr>
          <w:p w14:paraId="14A84D9C"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Banorte 10362100-3</w:t>
            </w:r>
          </w:p>
        </w:tc>
      </w:tr>
      <w:tr w:rsidR="00642FAC" w:rsidRPr="00B55C4E" w14:paraId="61F140CE" w14:textId="77777777" w:rsidTr="00E42413">
        <w:trPr>
          <w:trHeight w:val="317"/>
          <w:jc w:val="center"/>
        </w:trPr>
        <w:tc>
          <w:tcPr>
            <w:tcW w:w="4911" w:type="dxa"/>
            <w:tcBorders>
              <w:top w:val="nil"/>
              <w:left w:val="single" w:sz="8" w:space="0" w:color="auto"/>
              <w:bottom w:val="single" w:sz="8" w:space="0" w:color="auto"/>
              <w:right w:val="single" w:sz="8" w:space="0" w:color="auto"/>
            </w:tcBorders>
            <w:vAlign w:val="center"/>
          </w:tcPr>
          <w:p w14:paraId="3F373010"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1114100050</w:t>
            </w:r>
          </w:p>
        </w:tc>
        <w:tc>
          <w:tcPr>
            <w:tcW w:w="4151" w:type="dxa"/>
            <w:tcBorders>
              <w:top w:val="nil"/>
              <w:left w:val="nil"/>
              <w:bottom w:val="single" w:sz="8" w:space="0" w:color="auto"/>
              <w:right w:val="single" w:sz="8" w:space="0" w:color="auto"/>
            </w:tcBorders>
            <w:vAlign w:val="center"/>
          </w:tcPr>
          <w:p w14:paraId="433BA337"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MONEX 00003394608</w:t>
            </w:r>
          </w:p>
        </w:tc>
      </w:tr>
      <w:tr w:rsidR="00642FAC" w:rsidRPr="00B55C4E" w14:paraId="2BCF3FF0" w14:textId="77777777" w:rsidTr="00E42413">
        <w:trPr>
          <w:trHeight w:val="317"/>
          <w:jc w:val="center"/>
        </w:trPr>
        <w:tc>
          <w:tcPr>
            <w:tcW w:w="4911" w:type="dxa"/>
            <w:tcBorders>
              <w:top w:val="nil"/>
              <w:left w:val="single" w:sz="8" w:space="0" w:color="auto"/>
              <w:bottom w:val="single" w:sz="8" w:space="0" w:color="auto"/>
              <w:right w:val="single" w:sz="8" w:space="0" w:color="auto"/>
            </w:tcBorders>
            <w:vAlign w:val="center"/>
          </w:tcPr>
          <w:p w14:paraId="7F501824"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1112101620</w:t>
            </w:r>
          </w:p>
        </w:tc>
        <w:tc>
          <w:tcPr>
            <w:tcW w:w="4151" w:type="dxa"/>
            <w:tcBorders>
              <w:top w:val="nil"/>
              <w:left w:val="nil"/>
              <w:bottom w:val="single" w:sz="8" w:space="0" w:color="auto"/>
              <w:right w:val="single" w:sz="8" w:space="0" w:color="auto"/>
            </w:tcBorders>
            <w:vAlign w:val="center"/>
          </w:tcPr>
          <w:p w14:paraId="3EBB2034"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MONEX 00003401205</w:t>
            </w:r>
          </w:p>
        </w:tc>
      </w:tr>
      <w:tr w:rsidR="00642FAC" w:rsidRPr="00B55C4E" w14:paraId="35F89E47" w14:textId="77777777" w:rsidTr="00E42413">
        <w:trPr>
          <w:trHeight w:val="317"/>
          <w:jc w:val="center"/>
        </w:trPr>
        <w:tc>
          <w:tcPr>
            <w:tcW w:w="4911" w:type="dxa"/>
            <w:tcBorders>
              <w:top w:val="nil"/>
              <w:left w:val="single" w:sz="8" w:space="0" w:color="auto"/>
              <w:bottom w:val="single" w:sz="8" w:space="0" w:color="auto"/>
              <w:right w:val="single" w:sz="8" w:space="0" w:color="auto"/>
            </w:tcBorders>
            <w:vAlign w:val="center"/>
            <w:hideMark/>
          </w:tcPr>
          <w:p w14:paraId="48D493E2"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lastRenderedPageBreak/>
              <w:t>1112101500</w:t>
            </w:r>
          </w:p>
        </w:tc>
        <w:tc>
          <w:tcPr>
            <w:tcW w:w="4151" w:type="dxa"/>
            <w:tcBorders>
              <w:top w:val="nil"/>
              <w:left w:val="nil"/>
              <w:bottom w:val="single" w:sz="8" w:space="0" w:color="auto"/>
              <w:right w:val="single" w:sz="8" w:space="0" w:color="auto"/>
            </w:tcBorders>
            <w:vAlign w:val="center"/>
            <w:hideMark/>
          </w:tcPr>
          <w:p w14:paraId="1E3A19B3" w14:textId="77777777" w:rsidR="00642FAC" w:rsidRPr="00B55C4E" w:rsidRDefault="00642FAC" w:rsidP="006E7D59">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BBVA 0116846572</w:t>
            </w:r>
          </w:p>
        </w:tc>
      </w:tr>
    </w:tbl>
    <w:p w14:paraId="1DDCD0C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A1A32A2" w14:textId="77777777" w:rsidR="00E42413" w:rsidRDefault="00E42413" w:rsidP="001A399A">
      <w:pPr>
        <w:tabs>
          <w:tab w:val="left" w:leader="underscore" w:pos="9639"/>
        </w:tabs>
        <w:spacing w:after="0" w:line="240" w:lineRule="auto"/>
        <w:jc w:val="both"/>
        <w:rPr>
          <w:rFonts w:ascii="Arial" w:hAnsi="Arial" w:cs="Arial"/>
          <w:b/>
          <w:sz w:val="20"/>
          <w:szCs w:val="20"/>
        </w:rPr>
      </w:pPr>
    </w:p>
    <w:p w14:paraId="3B41301D" w14:textId="79BF472B"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Pasivos en moneda extranjera:</w:t>
      </w:r>
    </w:p>
    <w:p w14:paraId="4EDFA49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No aplica</w:t>
      </w:r>
    </w:p>
    <w:p w14:paraId="74BB4AAA" w14:textId="77777777" w:rsidR="00642FAC" w:rsidRDefault="00642FAC" w:rsidP="001A399A">
      <w:pPr>
        <w:tabs>
          <w:tab w:val="left" w:leader="underscore" w:pos="9639"/>
        </w:tabs>
        <w:spacing w:after="0" w:line="240" w:lineRule="auto"/>
        <w:jc w:val="both"/>
        <w:rPr>
          <w:rFonts w:ascii="Arial" w:hAnsi="Arial" w:cs="Arial"/>
          <w:sz w:val="20"/>
          <w:szCs w:val="20"/>
        </w:rPr>
      </w:pPr>
    </w:p>
    <w:p w14:paraId="3E5DB448" w14:textId="77777777" w:rsidR="00E42413" w:rsidRPr="001A399A" w:rsidRDefault="00E42413" w:rsidP="001A399A">
      <w:pPr>
        <w:tabs>
          <w:tab w:val="left" w:leader="underscore" w:pos="9639"/>
        </w:tabs>
        <w:spacing w:after="0" w:line="240" w:lineRule="auto"/>
        <w:jc w:val="both"/>
        <w:rPr>
          <w:rFonts w:ascii="Arial" w:hAnsi="Arial" w:cs="Arial"/>
          <w:sz w:val="20"/>
          <w:szCs w:val="20"/>
        </w:rPr>
      </w:pPr>
    </w:p>
    <w:p w14:paraId="502C52F8"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 xml:space="preserve">c) </w:t>
      </w:r>
      <w:r w:rsidRPr="001A399A">
        <w:rPr>
          <w:rFonts w:ascii="Arial" w:hAnsi="Arial" w:cs="Arial"/>
          <w:sz w:val="20"/>
          <w:szCs w:val="20"/>
        </w:rPr>
        <w:t>Posición en moneda extranjera:</w:t>
      </w:r>
    </w:p>
    <w:tbl>
      <w:tblPr>
        <w:tblW w:w="9204" w:type="dxa"/>
        <w:jc w:val="center"/>
        <w:tblCellMar>
          <w:left w:w="70" w:type="dxa"/>
          <w:right w:w="70" w:type="dxa"/>
        </w:tblCellMar>
        <w:tblLook w:val="04A0" w:firstRow="1" w:lastRow="0" w:firstColumn="1" w:lastColumn="0" w:noHBand="0" w:noVBand="1"/>
      </w:tblPr>
      <w:tblGrid>
        <w:gridCol w:w="2173"/>
        <w:gridCol w:w="2907"/>
        <w:gridCol w:w="4124"/>
      </w:tblGrid>
      <w:tr w:rsidR="00642FAC" w:rsidRPr="00B55C4E" w14:paraId="5F32B875" w14:textId="77777777" w:rsidTr="00E42413">
        <w:trPr>
          <w:trHeight w:val="336"/>
          <w:jc w:val="center"/>
        </w:trPr>
        <w:tc>
          <w:tcPr>
            <w:tcW w:w="217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77CDA2" w14:textId="77777777" w:rsidR="00642FAC" w:rsidRPr="00B55C4E" w:rsidRDefault="00642FAC" w:rsidP="00E42413">
            <w:pPr>
              <w:spacing w:after="0" w:line="240" w:lineRule="auto"/>
              <w:jc w:val="center"/>
              <w:rPr>
                <w:rFonts w:ascii="Arial" w:hAnsi="Arial" w:cs="Arial"/>
                <w:color w:val="000000"/>
                <w:sz w:val="18"/>
                <w:szCs w:val="18"/>
                <w:lang w:eastAsia="es-MX"/>
              </w:rPr>
            </w:pPr>
            <w:bookmarkStart w:id="8" w:name="_Hlk22741498"/>
            <w:r w:rsidRPr="00B55C4E">
              <w:rPr>
                <w:rFonts w:ascii="Arial" w:hAnsi="Arial" w:cs="Arial"/>
                <w:color w:val="000000"/>
                <w:sz w:val="18"/>
                <w:szCs w:val="18"/>
                <w:lang w:eastAsia="es-MX"/>
              </w:rPr>
              <w:t>Cuenta Contable</w:t>
            </w:r>
          </w:p>
        </w:tc>
        <w:tc>
          <w:tcPr>
            <w:tcW w:w="2907" w:type="dxa"/>
            <w:tcBorders>
              <w:top w:val="single" w:sz="8" w:space="0" w:color="auto"/>
              <w:left w:val="nil"/>
              <w:bottom w:val="single" w:sz="8" w:space="0" w:color="auto"/>
              <w:right w:val="single" w:sz="8" w:space="0" w:color="auto"/>
            </w:tcBorders>
            <w:shd w:val="clear" w:color="000000" w:fill="FFFFFF"/>
            <w:vAlign w:val="center"/>
            <w:hideMark/>
          </w:tcPr>
          <w:p w14:paraId="42189C03" w14:textId="77777777" w:rsidR="00642FAC" w:rsidRPr="00B55C4E" w:rsidRDefault="00642FAC" w:rsidP="00E42413">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Nombre</w:t>
            </w:r>
          </w:p>
        </w:tc>
        <w:tc>
          <w:tcPr>
            <w:tcW w:w="4124" w:type="dxa"/>
            <w:tcBorders>
              <w:top w:val="single" w:sz="8" w:space="0" w:color="auto"/>
              <w:left w:val="nil"/>
              <w:bottom w:val="single" w:sz="8" w:space="0" w:color="auto"/>
              <w:right w:val="single" w:sz="8" w:space="0" w:color="auto"/>
            </w:tcBorders>
            <w:shd w:val="clear" w:color="000000" w:fill="FFFFFF"/>
            <w:vAlign w:val="center"/>
            <w:hideMark/>
          </w:tcPr>
          <w:p w14:paraId="452608F7" w14:textId="77777777" w:rsidR="00642FAC" w:rsidRPr="00B55C4E" w:rsidRDefault="00642FAC" w:rsidP="00E42413">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Saldo en moneda extranjera</w:t>
            </w:r>
          </w:p>
        </w:tc>
      </w:tr>
      <w:bookmarkEnd w:id="8"/>
      <w:tr w:rsidR="00642FAC" w:rsidRPr="00B55C4E" w14:paraId="69921F64" w14:textId="77777777" w:rsidTr="00E42413">
        <w:trPr>
          <w:trHeight w:val="336"/>
          <w:jc w:val="center"/>
        </w:trPr>
        <w:tc>
          <w:tcPr>
            <w:tcW w:w="2173" w:type="dxa"/>
            <w:tcBorders>
              <w:top w:val="nil"/>
              <w:left w:val="single" w:sz="8" w:space="0" w:color="auto"/>
              <w:bottom w:val="single" w:sz="8" w:space="0" w:color="auto"/>
              <w:right w:val="single" w:sz="8" w:space="0" w:color="auto"/>
            </w:tcBorders>
            <w:shd w:val="clear" w:color="000000" w:fill="FFFFFF"/>
            <w:vAlign w:val="center"/>
            <w:hideMark/>
          </w:tcPr>
          <w:p w14:paraId="37DB3A58"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1112200010</w:t>
            </w:r>
          </w:p>
        </w:tc>
        <w:tc>
          <w:tcPr>
            <w:tcW w:w="2907" w:type="dxa"/>
            <w:tcBorders>
              <w:top w:val="nil"/>
              <w:left w:val="nil"/>
              <w:bottom w:val="single" w:sz="8" w:space="0" w:color="auto"/>
              <w:right w:val="single" w:sz="8" w:space="0" w:color="auto"/>
            </w:tcBorders>
            <w:shd w:val="clear" w:color="000000" w:fill="FFFFFF"/>
            <w:vAlign w:val="center"/>
            <w:hideMark/>
          </w:tcPr>
          <w:p w14:paraId="705A13A3"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Banorte 10362100-3</w:t>
            </w:r>
          </w:p>
        </w:tc>
        <w:tc>
          <w:tcPr>
            <w:tcW w:w="4124" w:type="dxa"/>
            <w:tcBorders>
              <w:top w:val="nil"/>
              <w:left w:val="nil"/>
              <w:bottom w:val="single" w:sz="8" w:space="0" w:color="auto"/>
              <w:right w:val="single" w:sz="8" w:space="0" w:color="auto"/>
            </w:tcBorders>
            <w:shd w:val="clear" w:color="000000" w:fill="FFFFFF"/>
            <w:vAlign w:val="center"/>
          </w:tcPr>
          <w:p w14:paraId="4AB053F8" w14:textId="5B521330" w:rsidR="00642FAC" w:rsidRPr="00B55C4E" w:rsidRDefault="00642FAC" w:rsidP="00B55C4E">
            <w:pPr>
              <w:spacing w:after="0" w:line="240" w:lineRule="auto"/>
              <w:jc w:val="right"/>
              <w:rPr>
                <w:rFonts w:ascii="Arial" w:hAnsi="Arial" w:cs="Arial"/>
                <w:b/>
                <w:bCs/>
                <w:color w:val="000000"/>
                <w:sz w:val="18"/>
                <w:szCs w:val="18"/>
                <w:lang w:eastAsia="es-MX"/>
              </w:rPr>
            </w:pPr>
            <w:r w:rsidRPr="00B55C4E">
              <w:rPr>
                <w:rFonts w:ascii="Arial" w:hAnsi="Arial" w:cs="Arial"/>
                <w:sz w:val="18"/>
                <w:szCs w:val="18"/>
              </w:rPr>
              <w:t xml:space="preserve">US            </w:t>
            </w:r>
            <w:r w:rsidR="00B55C4E">
              <w:rPr>
                <w:rFonts w:ascii="Arial" w:hAnsi="Arial" w:cs="Arial"/>
                <w:sz w:val="18"/>
                <w:szCs w:val="18"/>
              </w:rPr>
              <w:t xml:space="preserve"> </w:t>
            </w:r>
            <w:r w:rsidRPr="00B55C4E">
              <w:rPr>
                <w:rFonts w:ascii="Arial" w:hAnsi="Arial" w:cs="Arial"/>
                <w:sz w:val="18"/>
                <w:szCs w:val="18"/>
              </w:rPr>
              <w:t xml:space="preserve"> 3,187</w:t>
            </w:r>
          </w:p>
        </w:tc>
      </w:tr>
      <w:tr w:rsidR="00642FAC" w:rsidRPr="00B55C4E" w14:paraId="608DF5FE" w14:textId="77777777" w:rsidTr="00E42413">
        <w:trPr>
          <w:trHeight w:val="336"/>
          <w:jc w:val="center"/>
        </w:trPr>
        <w:tc>
          <w:tcPr>
            <w:tcW w:w="2173" w:type="dxa"/>
            <w:tcBorders>
              <w:top w:val="nil"/>
              <w:left w:val="single" w:sz="8" w:space="0" w:color="auto"/>
              <w:bottom w:val="single" w:sz="8" w:space="0" w:color="auto"/>
              <w:right w:val="single" w:sz="8" w:space="0" w:color="auto"/>
            </w:tcBorders>
            <w:shd w:val="clear" w:color="000000" w:fill="FFFFFF"/>
            <w:vAlign w:val="center"/>
          </w:tcPr>
          <w:p w14:paraId="25CB386A"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1114100050</w:t>
            </w:r>
          </w:p>
        </w:tc>
        <w:tc>
          <w:tcPr>
            <w:tcW w:w="2907" w:type="dxa"/>
            <w:tcBorders>
              <w:top w:val="nil"/>
              <w:left w:val="nil"/>
              <w:bottom w:val="single" w:sz="8" w:space="0" w:color="auto"/>
              <w:right w:val="single" w:sz="8" w:space="0" w:color="auto"/>
            </w:tcBorders>
            <w:shd w:val="clear" w:color="000000" w:fill="FFFFFF"/>
            <w:vAlign w:val="center"/>
          </w:tcPr>
          <w:p w14:paraId="0040025E"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MONEX 00003394608</w:t>
            </w:r>
          </w:p>
        </w:tc>
        <w:tc>
          <w:tcPr>
            <w:tcW w:w="4124" w:type="dxa"/>
            <w:tcBorders>
              <w:top w:val="nil"/>
              <w:left w:val="nil"/>
              <w:bottom w:val="single" w:sz="8" w:space="0" w:color="auto"/>
              <w:right w:val="single" w:sz="8" w:space="0" w:color="auto"/>
            </w:tcBorders>
            <w:shd w:val="clear" w:color="000000" w:fill="FFFFFF"/>
            <w:vAlign w:val="center"/>
          </w:tcPr>
          <w:p w14:paraId="32A78B0B" w14:textId="77777777" w:rsidR="00642FAC" w:rsidRPr="00B55C4E" w:rsidRDefault="00642FAC" w:rsidP="00B55C4E">
            <w:pPr>
              <w:spacing w:after="0" w:line="240" w:lineRule="auto"/>
              <w:jc w:val="right"/>
              <w:rPr>
                <w:rFonts w:ascii="Arial" w:hAnsi="Arial" w:cs="Arial"/>
                <w:b/>
                <w:bCs/>
                <w:color w:val="000000"/>
                <w:sz w:val="18"/>
                <w:szCs w:val="18"/>
                <w:lang w:eastAsia="es-MX"/>
              </w:rPr>
            </w:pPr>
            <w:r w:rsidRPr="00B55C4E">
              <w:rPr>
                <w:rFonts w:ascii="Arial" w:hAnsi="Arial" w:cs="Arial"/>
                <w:sz w:val="18"/>
                <w:szCs w:val="18"/>
              </w:rPr>
              <w:t>US       1,180,787</w:t>
            </w:r>
          </w:p>
        </w:tc>
      </w:tr>
      <w:tr w:rsidR="00642FAC" w:rsidRPr="00B55C4E" w14:paraId="56A256F2" w14:textId="77777777" w:rsidTr="00E42413">
        <w:trPr>
          <w:trHeight w:val="336"/>
          <w:jc w:val="center"/>
        </w:trPr>
        <w:tc>
          <w:tcPr>
            <w:tcW w:w="2173" w:type="dxa"/>
            <w:tcBorders>
              <w:top w:val="nil"/>
              <w:left w:val="single" w:sz="8" w:space="0" w:color="auto"/>
              <w:bottom w:val="single" w:sz="8" w:space="0" w:color="auto"/>
              <w:right w:val="single" w:sz="8" w:space="0" w:color="auto"/>
            </w:tcBorders>
            <w:shd w:val="clear" w:color="000000" w:fill="FFFFFF"/>
            <w:vAlign w:val="center"/>
          </w:tcPr>
          <w:p w14:paraId="41230710"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1112101620</w:t>
            </w:r>
          </w:p>
        </w:tc>
        <w:tc>
          <w:tcPr>
            <w:tcW w:w="2907" w:type="dxa"/>
            <w:tcBorders>
              <w:top w:val="nil"/>
              <w:left w:val="nil"/>
              <w:bottom w:val="single" w:sz="8" w:space="0" w:color="auto"/>
              <w:right w:val="single" w:sz="8" w:space="0" w:color="auto"/>
            </w:tcBorders>
            <w:shd w:val="clear" w:color="000000" w:fill="FFFFFF"/>
            <w:vAlign w:val="center"/>
          </w:tcPr>
          <w:p w14:paraId="77D2B8F7"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MONEX 00003401205</w:t>
            </w:r>
          </w:p>
        </w:tc>
        <w:tc>
          <w:tcPr>
            <w:tcW w:w="4124" w:type="dxa"/>
            <w:tcBorders>
              <w:top w:val="nil"/>
              <w:left w:val="nil"/>
              <w:bottom w:val="single" w:sz="8" w:space="0" w:color="auto"/>
              <w:right w:val="single" w:sz="8" w:space="0" w:color="auto"/>
            </w:tcBorders>
            <w:shd w:val="clear" w:color="000000" w:fill="FFFFFF"/>
            <w:vAlign w:val="center"/>
          </w:tcPr>
          <w:p w14:paraId="6A0ED8DC" w14:textId="76B70D79" w:rsidR="00642FAC" w:rsidRPr="00B55C4E" w:rsidRDefault="00642FAC" w:rsidP="00B55C4E">
            <w:pPr>
              <w:spacing w:after="0" w:line="240" w:lineRule="auto"/>
              <w:jc w:val="right"/>
              <w:rPr>
                <w:rFonts w:ascii="Arial" w:hAnsi="Arial" w:cs="Arial"/>
                <w:b/>
                <w:bCs/>
                <w:color w:val="000000"/>
                <w:sz w:val="18"/>
                <w:szCs w:val="18"/>
                <w:lang w:eastAsia="es-MX"/>
              </w:rPr>
            </w:pPr>
            <w:r w:rsidRPr="00B55C4E">
              <w:rPr>
                <w:rFonts w:ascii="Arial" w:hAnsi="Arial" w:cs="Arial"/>
                <w:sz w:val="18"/>
                <w:szCs w:val="18"/>
              </w:rPr>
              <w:t xml:space="preserve">US               </w:t>
            </w:r>
            <w:r w:rsidR="00B55C4E">
              <w:rPr>
                <w:rFonts w:ascii="Arial" w:hAnsi="Arial" w:cs="Arial"/>
                <w:sz w:val="18"/>
                <w:szCs w:val="18"/>
              </w:rPr>
              <w:t xml:space="preserve"> </w:t>
            </w:r>
            <w:r w:rsidRPr="00B55C4E">
              <w:rPr>
                <w:rFonts w:ascii="Arial" w:hAnsi="Arial" w:cs="Arial"/>
                <w:sz w:val="18"/>
                <w:szCs w:val="18"/>
              </w:rPr>
              <w:t xml:space="preserve"> 105</w:t>
            </w:r>
          </w:p>
        </w:tc>
      </w:tr>
      <w:tr w:rsidR="00642FAC" w:rsidRPr="00B55C4E" w14:paraId="16F40CD8" w14:textId="77777777" w:rsidTr="00E42413">
        <w:trPr>
          <w:trHeight w:val="336"/>
          <w:jc w:val="center"/>
        </w:trPr>
        <w:tc>
          <w:tcPr>
            <w:tcW w:w="2173" w:type="dxa"/>
            <w:tcBorders>
              <w:top w:val="nil"/>
              <w:left w:val="single" w:sz="8" w:space="0" w:color="auto"/>
              <w:bottom w:val="single" w:sz="8" w:space="0" w:color="auto"/>
              <w:right w:val="single" w:sz="8" w:space="0" w:color="auto"/>
            </w:tcBorders>
            <w:shd w:val="clear" w:color="000000" w:fill="FFFFFF"/>
            <w:vAlign w:val="center"/>
          </w:tcPr>
          <w:p w14:paraId="2CEE78C0"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1112101500</w:t>
            </w:r>
          </w:p>
        </w:tc>
        <w:tc>
          <w:tcPr>
            <w:tcW w:w="2907" w:type="dxa"/>
            <w:tcBorders>
              <w:top w:val="nil"/>
              <w:left w:val="nil"/>
              <w:bottom w:val="single" w:sz="8" w:space="0" w:color="auto"/>
              <w:right w:val="single" w:sz="8" w:space="0" w:color="auto"/>
            </w:tcBorders>
            <w:shd w:val="clear" w:color="000000" w:fill="FFFFFF"/>
            <w:vAlign w:val="center"/>
          </w:tcPr>
          <w:p w14:paraId="539B3ABC"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BBVA 0116846572</w:t>
            </w:r>
          </w:p>
        </w:tc>
        <w:tc>
          <w:tcPr>
            <w:tcW w:w="4124" w:type="dxa"/>
            <w:tcBorders>
              <w:top w:val="nil"/>
              <w:left w:val="nil"/>
              <w:bottom w:val="single" w:sz="8" w:space="0" w:color="auto"/>
              <w:right w:val="single" w:sz="8" w:space="0" w:color="auto"/>
            </w:tcBorders>
            <w:shd w:val="clear" w:color="000000" w:fill="FFFFFF"/>
            <w:vAlign w:val="center"/>
          </w:tcPr>
          <w:p w14:paraId="05292819" w14:textId="678CD084" w:rsidR="00642FAC" w:rsidRPr="00B55C4E" w:rsidRDefault="00642FAC" w:rsidP="00B55C4E">
            <w:pPr>
              <w:spacing w:after="0" w:line="240" w:lineRule="auto"/>
              <w:jc w:val="right"/>
              <w:rPr>
                <w:rFonts w:ascii="Arial" w:hAnsi="Arial" w:cs="Arial"/>
                <w:b/>
                <w:bCs/>
                <w:color w:val="000000"/>
                <w:sz w:val="18"/>
                <w:szCs w:val="18"/>
                <w:lang w:eastAsia="es-MX"/>
              </w:rPr>
            </w:pPr>
            <w:r w:rsidRPr="00B55C4E">
              <w:rPr>
                <w:rFonts w:ascii="Arial" w:hAnsi="Arial" w:cs="Arial"/>
                <w:sz w:val="18"/>
                <w:szCs w:val="18"/>
              </w:rPr>
              <w:t xml:space="preserve">US               </w:t>
            </w:r>
            <w:r w:rsidR="00B55C4E">
              <w:rPr>
                <w:rFonts w:ascii="Arial" w:hAnsi="Arial" w:cs="Arial"/>
                <w:sz w:val="18"/>
                <w:szCs w:val="18"/>
              </w:rPr>
              <w:t xml:space="preserve"> </w:t>
            </w:r>
            <w:r w:rsidRPr="00B55C4E">
              <w:rPr>
                <w:rFonts w:ascii="Arial" w:hAnsi="Arial" w:cs="Arial"/>
                <w:sz w:val="18"/>
                <w:szCs w:val="18"/>
              </w:rPr>
              <w:t xml:space="preserve"> 149</w:t>
            </w:r>
          </w:p>
        </w:tc>
      </w:tr>
    </w:tbl>
    <w:p w14:paraId="2B9D7211" w14:textId="77777777" w:rsidR="00642FAC" w:rsidRDefault="00642FAC" w:rsidP="001A399A">
      <w:pPr>
        <w:tabs>
          <w:tab w:val="left" w:leader="underscore" w:pos="9639"/>
        </w:tabs>
        <w:spacing w:after="0" w:line="240" w:lineRule="auto"/>
        <w:jc w:val="both"/>
        <w:rPr>
          <w:rFonts w:ascii="Arial" w:hAnsi="Arial" w:cs="Arial"/>
          <w:sz w:val="20"/>
          <w:szCs w:val="20"/>
        </w:rPr>
      </w:pPr>
    </w:p>
    <w:p w14:paraId="67F2C1FA" w14:textId="77777777" w:rsidR="00E42413" w:rsidRPr="001A399A" w:rsidRDefault="00E42413" w:rsidP="001A399A">
      <w:pPr>
        <w:tabs>
          <w:tab w:val="left" w:leader="underscore" w:pos="9639"/>
        </w:tabs>
        <w:spacing w:after="0" w:line="240" w:lineRule="auto"/>
        <w:jc w:val="both"/>
        <w:rPr>
          <w:rFonts w:ascii="Arial" w:hAnsi="Arial" w:cs="Arial"/>
          <w:sz w:val="20"/>
          <w:szCs w:val="20"/>
        </w:rPr>
      </w:pPr>
    </w:p>
    <w:p w14:paraId="522DC77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Tipo de cambio:</w:t>
      </w:r>
    </w:p>
    <w:p w14:paraId="414A49DE"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b/>
          <w:sz w:val="20"/>
          <w:szCs w:val="20"/>
        </w:rPr>
        <w:t>1 USD = $</w:t>
      </w:r>
      <w:r w:rsidRPr="001A399A">
        <w:rPr>
          <w:rFonts w:ascii="Arial" w:hAnsi="Arial" w:cs="Arial"/>
          <w:sz w:val="20"/>
          <w:szCs w:val="20"/>
        </w:rPr>
        <w:t xml:space="preserve"> </w:t>
      </w:r>
      <w:r w:rsidRPr="001A399A">
        <w:rPr>
          <w:rFonts w:ascii="Arial" w:hAnsi="Arial" w:cs="Arial"/>
          <w:b/>
          <w:sz w:val="20"/>
          <w:szCs w:val="20"/>
        </w:rPr>
        <w:t>17.9500</w:t>
      </w:r>
    </w:p>
    <w:p w14:paraId="5A00AC7A" w14:textId="77777777" w:rsidR="00642FAC" w:rsidRDefault="00642FAC" w:rsidP="001A399A">
      <w:pPr>
        <w:tabs>
          <w:tab w:val="left" w:leader="underscore" w:pos="9639"/>
        </w:tabs>
        <w:spacing w:after="0" w:line="240" w:lineRule="auto"/>
        <w:jc w:val="both"/>
        <w:rPr>
          <w:rFonts w:ascii="Arial" w:hAnsi="Arial" w:cs="Arial"/>
          <w:b/>
          <w:sz w:val="20"/>
          <w:szCs w:val="20"/>
        </w:rPr>
      </w:pPr>
    </w:p>
    <w:p w14:paraId="4CCD96C0" w14:textId="77777777" w:rsidR="00E42413" w:rsidRPr="001A399A" w:rsidRDefault="00E42413" w:rsidP="001A399A">
      <w:pPr>
        <w:tabs>
          <w:tab w:val="left" w:leader="underscore" w:pos="9639"/>
        </w:tabs>
        <w:spacing w:after="0" w:line="240" w:lineRule="auto"/>
        <w:jc w:val="both"/>
        <w:rPr>
          <w:rFonts w:ascii="Arial" w:hAnsi="Arial" w:cs="Arial"/>
          <w:b/>
          <w:sz w:val="20"/>
          <w:szCs w:val="20"/>
        </w:rPr>
      </w:pPr>
    </w:p>
    <w:p w14:paraId="66E5B49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 xml:space="preserve">e) </w:t>
      </w:r>
      <w:r w:rsidRPr="001A399A">
        <w:rPr>
          <w:rFonts w:ascii="Arial" w:hAnsi="Arial" w:cs="Arial"/>
          <w:sz w:val="20"/>
          <w:szCs w:val="20"/>
        </w:rPr>
        <w:t>Equivalente en moneda nacional:</w:t>
      </w:r>
    </w:p>
    <w:tbl>
      <w:tblPr>
        <w:tblW w:w="9230" w:type="dxa"/>
        <w:jc w:val="center"/>
        <w:tblCellMar>
          <w:left w:w="70" w:type="dxa"/>
          <w:right w:w="70" w:type="dxa"/>
        </w:tblCellMar>
        <w:tblLook w:val="04A0" w:firstRow="1" w:lastRow="0" w:firstColumn="1" w:lastColumn="0" w:noHBand="0" w:noVBand="1"/>
      </w:tblPr>
      <w:tblGrid>
        <w:gridCol w:w="2260"/>
        <w:gridCol w:w="2977"/>
        <w:gridCol w:w="3993"/>
      </w:tblGrid>
      <w:tr w:rsidR="00642FAC" w:rsidRPr="00B55C4E" w14:paraId="73E8787F" w14:textId="77777777" w:rsidTr="00E42413">
        <w:trPr>
          <w:trHeight w:val="340"/>
          <w:jc w:val="center"/>
        </w:trPr>
        <w:tc>
          <w:tcPr>
            <w:tcW w:w="2260" w:type="dxa"/>
            <w:tcBorders>
              <w:top w:val="single" w:sz="8" w:space="0" w:color="auto"/>
              <w:left w:val="single" w:sz="8" w:space="0" w:color="auto"/>
              <w:bottom w:val="single" w:sz="8" w:space="0" w:color="auto"/>
              <w:right w:val="single" w:sz="8" w:space="0" w:color="auto"/>
            </w:tcBorders>
            <w:vAlign w:val="center"/>
            <w:hideMark/>
          </w:tcPr>
          <w:p w14:paraId="154CD5E7" w14:textId="77777777" w:rsidR="00642FAC" w:rsidRPr="00B55C4E" w:rsidRDefault="00642FAC" w:rsidP="00E42413">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Cuenta Contable</w:t>
            </w:r>
          </w:p>
        </w:tc>
        <w:tc>
          <w:tcPr>
            <w:tcW w:w="2977" w:type="dxa"/>
            <w:tcBorders>
              <w:top w:val="single" w:sz="8" w:space="0" w:color="auto"/>
              <w:left w:val="nil"/>
              <w:bottom w:val="single" w:sz="8" w:space="0" w:color="auto"/>
              <w:right w:val="single" w:sz="8" w:space="0" w:color="auto"/>
            </w:tcBorders>
            <w:vAlign w:val="center"/>
            <w:hideMark/>
          </w:tcPr>
          <w:p w14:paraId="3FB6AD60" w14:textId="77777777" w:rsidR="00642FAC" w:rsidRPr="00B55C4E" w:rsidRDefault="00642FAC" w:rsidP="00E42413">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Nombre</w:t>
            </w:r>
          </w:p>
        </w:tc>
        <w:tc>
          <w:tcPr>
            <w:tcW w:w="3993" w:type="dxa"/>
            <w:tcBorders>
              <w:top w:val="single" w:sz="8" w:space="0" w:color="auto"/>
              <w:left w:val="nil"/>
              <w:bottom w:val="single" w:sz="8" w:space="0" w:color="auto"/>
              <w:right w:val="single" w:sz="8" w:space="0" w:color="auto"/>
            </w:tcBorders>
            <w:vAlign w:val="center"/>
            <w:hideMark/>
          </w:tcPr>
          <w:p w14:paraId="5E260707" w14:textId="77777777" w:rsidR="00642FAC" w:rsidRPr="00B55C4E" w:rsidRDefault="00642FAC" w:rsidP="00E42413">
            <w:pPr>
              <w:spacing w:after="0" w:line="240" w:lineRule="auto"/>
              <w:jc w:val="center"/>
              <w:rPr>
                <w:rFonts w:ascii="Arial" w:hAnsi="Arial" w:cs="Arial"/>
                <w:color w:val="000000"/>
                <w:sz w:val="18"/>
                <w:szCs w:val="18"/>
                <w:lang w:eastAsia="es-MX"/>
              </w:rPr>
            </w:pPr>
            <w:r w:rsidRPr="00B55C4E">
              <w:rPr>
                <w:rFonts w:ascii="Arial" w:hAnsi="Arial" w:cs="Arial"/>
                <w:color w:val="000000"/>
                <w:sz w:val="18"/>
                <w:szCs w:val="18"/>
                <w:lang w:eastAsia="es-MX"/>
              </w:rPr>
              <w:t>Saldo en moneda nacional</w:t>
            </w:r>
          </w:p>
        </w:tc>
      </w:tr>
      <w:tr w:rsidR="00642FAC" w:rsidRPr="00B55C4E" w14:paraId="37EDA3A7" w14:textId="77777777" w:rsidTr="00E42413">
        <w:trPr>
          <w:trHeight w:val="340"/>
          <w:jc w:val="center"/>
        </w:trPr>
        <w:tc>
          <w:tcPr>
            <w:tcW w:w="2260" w:type="dxa"/>
            <w:tcBorders>
              <w:top w:val="nil"/>
              <w:left w:val="single" w:sz="8" w:space="0" w:color="auto"/>
              <w:bottom w:val="single" w:sz="8" w:space="0" w:color="auto"/>
              <w:right w:val="single" w:sz="8" w:space="0" w:color="auto"/>
            </w:tcBorders>
            <w:vAlign w:val="center"/>
            <w:hideMark/>
          </w:tcPr>
          <w:p w14:paraId="3863A1FD"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1112200010</w:t>
            </w:r>
          </w:p>
        </w:tc>
        <w:tc>
          <w:tcPr>
            <w:tcW w:w="2977" w:type="dxa"/>
            <w:tcBorders>
              <w:top w:val="nil"/>
              <w:left w:val="nil"/>
              <w:bottom w:val="single" w:sz="8" w:space="0" w:color="auto"/>
              <w:right w:val="single" w:sz="8" w:space="0" w:color="auto"/>
            </w:tcBorders>
            <w:vAlign w:val="center"/>
            <w:hideMark/>
          </w:tcPr>
          <w:p w14:paraId="614A3881"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Banorte 10362100-3</w:t>
            </w:r>
          </w:p>
        </w:tc>
        <w:tc>
          <w:tcPr>
            <w:tcW w:w="3993" w:type="dxa"/>
            <w:tcBorders>
              <w:top w:val="nil"/>
              <w:left w:val="nil"/>
              <w:bottom w:val="single" w:sz="8" w:space="0" w:color="auto"/>
              <w:right w:val="single" w:sz="8" w:space="0" w:color="auto"/>
            </w:tcBorders>
            <w:hideMark/>
          </w:tcPr>
          <w:p w14:paraId="7766A5A5" w14:textId="47DA87D1" w:rsidR="00642FAC" w:rsidRPr="00B55C4E" w:rsidRDefault="00642FAC" w:rsidP="00B55C4E">
            <w:pPr>
              <w:spacing w:after="0" w:line="240" w:lineRule="auto"/>
              <w:jc w:val="right"/>
              <w:rPr>
                <w:rFonts w:ascii="Arial" w:hAnsi="Arial" w:cs="Arial"/>
                <w:color w:val="000000"/>
                <w:sz w:val="18"/>
                <w:szCs w:val="18"/>
                <w:lang w:eastAsia="es-MX"/>
              </w:rPr>
            </w:pPr>
            <w:r w:rsidRPr="00B55C4E">
              <w:rPr>
                <w:rFonts w:ascii="Arial" w:hAnsi="Arial" w:cs="Arial"/>
                <w:color w:val="000000"/>
                <w:sz w:val="18"/>
                <w:szCs w:val="18"/>
                <w:lang w:eastAsia="es-MX"/>
              </w:rPr>
              <w:t xml:space="preserve">               </w:t>
            </w:r>
            <w:r w:rsidR="00B55C4E">
              <w:rPr>
                <w:rFonts w:ascii="Arial" w:hAnsi="Arial" w:cs="Arial"/>
                <w:color w:val="000000"/>
                <w:sz w:val="18"/>
                <w:szCs w:val="18"/>
                <w:lang w:eastAsia="es-MX"/>
              </w:rPr>
              <w:t xml:space="preserve">$ </w:t>
            </w:r>
            <w:r w:rsidRPr="00B55C4E">
              <w:rPr>
                <w:rFonts w:ascii="Arial" w:hAnsi="Arial" w:cs="Arial"/>
                <w:color w:val="000000"/>
                <w:sz w:val="18"/>
                <w:szCs w:val="18"/>
                <w:lang w:eastAsia="es-MX"/>
              </w:rPr>
              <w:t>57,214</w:t>
            </w:r>
          </w:p>
        </w:tc>
      </w:tr>
      <w:tr w:rsidR="00642FAC" w:rsidRPr="00B55C4E" w14:paraId="44D11A35" w14:textId="77777777" w:rsidTr="00E42413">
        <w:trPr>
          <w:trHeight w:val="340"/>
          <w:jc w:val="center"/>
        </w:trPr>
        <w:tc>
          <w:tcPr>
            <w:tcW w:w="2260" w:type="dxa"/>
            <w:tcBorders>
              <w:top w:val="nil"/>
              <w:left w:val="single" w:sz="8" w:space="0" w:color="auto"/>
              <w:bottom w:val="single" w:sz="8" w:space="0" w:color="auto"/>
              <w:right w:val="single" w:sz="8" w:space="0" w:color="auto"/>
            </w:tcBorders>
            <w:vAlign w:val="center"/>
          </w:tcPr>
          <w:p w14:paraId="32AC091F"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1114100050</w:t>
            </w:r>
          </w:p>
        </w:tc>
        <w:tc>
          <w:tcPr>
            <w:tcW w:w="2977" w:type="dxa"/>
            <w:tcBorders>
              <w:top w:val="nil"/>
              <w:left w:val="nil"/>
              <w:bottom w:val="single" w:sz="8" w:space="0" w:color="auto"/>
              <w:right w:val="single" w:sz="8" w:space="0" w:color="auto"/>
            </w:tcBorders>
            <w:vAlign w:val="center"/>
          </w:tcPr>
          <w:p w14:paraId="0CE6C0BB"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MONEX 00003394608</w:t>
            </w:r>
          </w:p>
        </w:tc>
        <w:tc>
          <w:tcPr>
            <w:tcW w:w="3993" w:type="dxa"/>
            <w:tcBorders>
              <w:top w:val="nil"/>
              <w:left w:val="nil"/>
              <w:bottom w:val="single" w:sz="8" w:space="0" w:color="auto"/>
              <w:right w:val="single" w:sz="8" w:space="0" w:color="auto"/>
            </w:tcBorders>
          </w:tcPr>
          <w:p w14:paraId="0B7C90F1" w14:textId="00ABDC54" w:rsidR="00642FAC" w:rsidRPr="00B55C4E" w:rsidRDefault="00642FAC" w:rsidP="00B55C4E">
            <w:pPr>
              <w:spacing w:after="0" w:line="240" w:lineRule="auto"/>
              <w:jc w:val="right"/>
              <w:rPr>
                <w:rFonts w:ascii="Arial" w:hAnsi="Arial" w:cs="Arial"/>
                <w:color w:val="000000"/>
                <w:sz w:val="18"/>
                <w:szCs w:val="18"/>
                <w:lang w:eastAsia="es-MX"/>
              </w:rPr>
            </w:pPr>
            <w:r w:rsidRPr="00B55C4E">
              <w:rPr>
                <w:rFonts w:ascii="Arial" w:hAnsi="Arial" w:cs="Arial"/>
                <w:color w:val="000000"/>
                <w:sz w:val="18"/>
                <w:szCs w:val="18"/>
                <w:lang w:eastAsia="es-MX"/>
              </w:rPr>
              <w:t xml:space="preserve">       </w:t>
            </w:r>
            <w:r w:rsidR="00B55C4E">
              <w:rPr>
                <w:rFonts w:ascii="Arial" w:hAnsi="Arial" w:cs="Arial"/>
                <w:color w:val="000000"/>
                <w:sz w:val="18"/>
                <w:szCs w:val="18"/>
                <w:lang w:eastAsia="es-MX"/>
              </w:rPr>
              <w:t xml:space="preserve">$ </w:t>
            </w:r>
            <w:r w:rsidRPr="00B55C4E">
              <w:rPr>
                <w:rFonts w:ascii="Arial" w:hAnsi="Arial" w:cs="Arial"/>
                <w:color w:val="000000"/>
                <w:sz w:val="18"/>
                <w:szCs w:val="18"/>
                <w:lang w:eastAsia="es-MX"/>
              </w:rPr>
              <w:t>21,195,121</w:t>
            </w:r>
          </w:p>
        </w:tc>
      </w:tr>
      <w:tr w:rsidR="00642FAC" w:rsidRPr="00B55C4E" w14:paraId="648D87D5" w14:textId="77777777" w:rsidTr="00E42413">
        <w:trPr>
          <w:trHeight w:val="340"/>
          <w:jc w:val="center"/>
        </w:trPr>
        <w:tc>
          <w:tcPr>
            <w:tcW w:w="2260" w:type="dxa"/>
            <w:tcBorders>
              <w:top w:val="nil"/>
              <w:left w:val="single" w:sz="8" w:space="0" w:color="auto"/>
              <w:bottom w:val="single" w:sz="8" w:space="0" w:color="auto"/>
              <w:right w:val="single" w:sz="8" w:space="0" w:color="auto"/>
            </w:tcBorders>
            <w:vAlign w:val="center"/>
          </w:tcPr>
          <w:p w14:paraId="24E746FC"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1112101620</w:t>
            </w:r>
          </w:p>
        </w:tc>
        <w:tc>
          <w:tcPr>
            <w:tcW w:w="2977" w:type="dxa"/>
            <w:tcBorders>
              <w:top w:val="nil"/>
              <w:left w:val="nil"/>
              <w:bottom w:val="single" w:sz="8" w:space="0" w:color="auto"/>
              <w:right w:val="single" w:sz="8" w:space="0" w:color="auto"/>
            </w:tcBorders>
            <w:vAlign w:val="center"/>
          </w:tcPr>
          <w:p w14:paraId="579B0252"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MONEX 00003401205</w:t>
            </w:r>
          </w:p>
        </w:tc>
        <w:tc>
          <w:tcPr>
            <w:tcW w:w="3993" w:type="dxa"/>
            <w:tcBorders>
              <w:top w:val="nil"/>
              <w:left w:val="nil"/>
              <w:bottom w:val="single" w:sz="8" w:space="0" w:color="auto"/>
              <w:right w:val="single" w:sz="8" w:space="0" w:color="auto"/>
            </w:tcBorders>
          </w:tcPr>
          <w:p w14:paraId="70B4D648" w14:textId="417FD858" w:rsidR="00642FAC" w:rsidRPr="00B55C4E" w:rsidRDefault="00642FAC" w:rsidP="00B55C4E">
            <w:pPr>
              <w:spacing w:after="0" w:line="240" w:lineRule="auto"/>
              <w:jc w:val="right"/>
              <w:rPr>
                <w:rFonts w:ascii="Arial" w:hAnsi="Arial" w:cs="Arial"/>
                <w:color w:val="000000"/>
                <w:sz w:val="18"/>
                <w:szCs w:val="18"/>
                <w:lang w:eastAsia="es-MX"/>
              </w:rPr>
            </w:pPr>
            <w:r w:rsidRPr="00B55C4E">
              <w:rPr>
                <w:rFonts w:ascii="Arial" w:hAnsi="Arial" w:cs="Arial"/>
                <w:color w:val="000000"/>
                <w:sz w:val="18"/>
                <w:szCs w:val="18"/>
                <w:lang w:eastAsia="es-MX"/>
              </w:rPr>
              <w:t xml:space="preserve">                 </w:t>
            </w:r>
            <w:r w:rsidR="00B55C4E">
              <w:rPr>
                <w:rFonts w:ascii="Arial" w:hAnsi="Arial" w:cs="Arial"/>
                <w:color w:val="000000"/>
                <w:sz w:val="18"/>
                <w:szCs w:val="18"/>
                <w:lang w:eastAsia="es-MX"/>
              </w:rPr>
              <w:t xml:space="preserve">$ </w:t>
            </w:r>
            <w:r w:rsidRPr="00B55C4E">
              <w:rPr>
                <w:rFonts w:ascii="Arial" w:hAnsi="Arial" w:cs="Arial"/>
                <w:color w:val="000000"/>
                <w:sz w:val="18"/>
                <w:szCs w:val="18"/>
                <w:lang w:eastAsia="es-MX"/>
              </w:rPr>
              <w:t>1,893</w:t>
            </w:r>
          </w:p>
        </w:tc>
      </w:tr>
      <w:tr w:rsidR="00642FAC" w:rsidRPr="00B55C4E" w14:paraId="54D7C239" w14:textId="77777777" w:rsidTr="00E42413">
        <w:trPr>
          <w:trHeight w:val="340"/>
          <w:jc w:val="center"/>
        </w:trPr>
        <w:tc>
          <w:tcPr>
            <w:tcW w:w="2260" w:type="dxa"/>
            <w:tcBorders>
              <w:top w:val="nil"/>
              <w:left w:val="single" w:sz="8" w:space="0" w:color="auto"/>
              <w:bottom w:val="single" w:sz="8" w:space="0" w:color="auto"/>
              <w:right w:val="single" w:sz="8" w:space="0" w:color="auto"/>
            </w:tcBorders>
            <w:vAlign w:val="center"/>
          </w:tcPr>
          <w:p w14:paraId="24A0E400"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1112101500</w:t>
            </w:r>
          </w:p>
        </w:tc>
        <w:tc>
          <w:tcPr>
            <w:tcW w:w="2977" w:type="dxa"/>
            <w:tcBorders>
              <w:top w:val="nil"/>
              <w:left w:val="nil"/>
              <w:bottom w:val="single" w:sz="8" w:space="0" w:color="auto"/>
              <w:right w:val="single" w:sz="8" w:space="0" w:color="auto"/>
            </w:tcBorders>
            <w:vAlign w:val="center"/>
          </w:tcPr>
          <w:p w14:paraId="4B57A3E0" w14:textId="77777777" w:rsidR="00642FAC" w:rsidRPr="00B55C4E" w:rsidRDefault="00642FAC" w:rsidP="001A399A">
            <w:pPr>
              <w:spacing w:after="0" w:line="240" w:lineRule="auto"/>
              <w:jc w:val="both"/>
              <w:rPr>
                <w:rFonts w:ascii="Arial" w:hAnsi="Arial" w:cs="Arial"/>
                <w:color w:val="000000"/>
                <w:sz w:val="18"/>
                <w:szCs w:val="18"/>
                <w:lang w:eastAsia="es-MX"/>
              </w:rPr>
            </w:pPr>
            <w:r w:rsidRPr="00B55C4E">
              <w:rPr>
                <w:rFonts w:ascii="Arial" w:hAnsi="Arial" w:cs="Arial"/>
                <w:color w:val="000000"/>
                <w:sz w:val="18"/>
                <w:szCs w:val="18"/>
                <w:lang w:eastAsia="es-MX"/>
              </w:rPr>
              <w:t>BBVA 0116846572</w:t>
            </w:r>
          </w:p>
        </w:tc>
        <w:tc>
          <w:tcPr>
            <w:tcW w:w="3993" w:type="dxa"/>
            <w:tcBorders>
              <w:top w:val="nil"/>
              <w:left w:val="nil"/>
              <w:bottom w:val="single" w:sz="8" w:space="0" w:color="auto"/>
              <w:right w:val="single" w:sz="8" w:space="0" w:color="auto"/>
            </w:tcBorders>
          </w:tcPr>
          <w:p w14:paraId="7C3693F9" w14:textId="45D03667" w:rsidR="00642FAC" w:rsidRPr="00B55C4E" w:rsidRDefault="00642FAC" w:rsidP="00B55C4E">
            <w:pPr>
              <w:spacing w:after="0" w:line="240" w:lineRule="auto"/>
              <w:ind w:left="709" w:hanging="709"/>
              <w:jc w:val="right"/>
              <w:rPr>
                <w:rFonts w:ascii="Arial" w:hAnsi="Arial" w:cs="Arial"/>
                <w:color w:val="000000"/>
                <w:sz w:val="18"/>
                <w:szCs w:val="18"/>
                <w:lang w:eastAsia="es-MX"/>
              </w:rPr>
            </w:pPr>
            <w:r w:rsidRPr="00B55C4E">
              <w:rPr>
                <w:rFonts w:ascii="Arial" w:hAnsi="Arial" w:cs="Arial"/>
                <w:color w:val="000000"/>
                <w:sz w:val="18"/>
                <w:szCs w:val="18"/>
                <w:lang w:eastAsia="es-MX"/>
              </w:rPr>
              <w:t xml:space="preserve">                 </w:t>
            </w:r>
            <w:r w:rsidR="00B55C4E">
              <w:rPr>
                <w:rFonts w:ascii="Arial" w:hAnsi="Arial" w:cs="Arial"/>
                <w:color w:val="000000"/>
                <w:sz w:val="18"/>
                <w:szCs w:val="18"/>
                <w:lang w:eastAsia="es-MX"/>
              </w:rPr>
              <w:t xml:space="preserve">$ </w:t>
            </w:r>
            <w:r w:rsidRPr="00B55C4E">
              <w:rPr>
                <w:rFonts w:ascii="Arial" w:hAnsi="Arial" w:cs="Arial"/>
                <w:color w:val="000000"/>
                <w:sz w:val="18"/>
                <w:szCs w:val="18"/>
                <w:lang w:eastAsia="es-MX"/>
              </w:rPr>
              <w:t>2,675</w:t>
            </w:r>
          </w:p>
        </w:tc>
      </w:tr>
    </w:tbl>
    <w:p w14:paraId="7442EDD4"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46AAD82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Lo anterior por cada tipo de moneda extranjera que se encuentre en los rubros de activo y pasivo.</w:t>
      </w:r>
    </w:p>
    <w:p w14:paraId="77929D7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Adicionalmente, se informará sobre los métodos de protección de riesgo por variaciones en el tipo de cambio.</w:t>
      </w:r>
    </w:p>
    <w:p w14:paraId="4EAEC60D"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1F0BE03"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9" w:name="_Toc161472872"/>
      <w:r w:rsidRPr="001A399A">
        <w:rPr>
          <w:rFonts w:ascii="Arial" w:hAnsi="Arial" w:cs="Arial"/>
          <w:b/>
          <w:color w:val="auto"/>
          <w:sz w:val="20"/>
          <w:szCs w:val="20"/>
        </w:rPr>
        <w:t>7. Reporte Analítico del Activo:</w:t>
      </w:r>
      <w:bookmarkEnd w:id="9"/>
    </w:p>
    <w:p w14:paraId="2BB6320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7AA5EE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Debe mostrar la siguiente información:</w:t>
      </w:r>
    </w:p>
    <w:p w14:paraId="2E07C9B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BD3413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Vida útil, porcentajes de depreciación y amortización utilizados en los diferentes tipos de activos:</w:t>
      </w:r>
    </w:p>
    <w:p w14:paraId="727A7203"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E74C769"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Universidad utilizó el Parámetro de Estimación de Vida Útil, publicado en el Diario Oficial de la Federación del miércoles 15 de agosto del 2012</w:t>
      </w:r>
    </w:p>
    <w:p w14:paraId="4112FDC2" w14:textId="77777777" w:rsidR="00642FAC" w:rsidRPr="001A399A" w:rsidRDefault="00642FAC" w:rsidP="001A399A">
      <w:pPr>
        <w:spacing w:after="0" w:line="240" w:lineRule="auto"/>
        <w:jc w:val="both"/>
        <w:rPr>
          <w:rFonts w:ascii="Arial" w:hAnsi="Arial"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288"/>
        <w:gridCol w:w="5195"/>
        <w:gridCol w:w="1443"/>
        <w:gridCol w:w="144"/>
        <w:gridCol w:w="1408"/>
        <w:gridCol w:w="13"/>
      </w:tblGrid>
      <w:tr w:rsidR="00642FAC" w:rsidRPr="000848CD" w14:paraId="79BBAA5F" w14:textId="77777777" w:rsidTr="000848CD">
        <w:trPr>
          <w:gridAfter w:val="1"/>
          <w:wAfter w:w="13" w:type="dxa"/>
          <w:trHeight w:val="253"/>
          <w:jc w:val="center"/>
        </w:trPr>
        <w:tc>
          <w:tcPr>
            <w:tcW w:w="1288"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09DC390" w14:textId="2347B7C9" w:rsidR="00642FAC" w:rsidRPr="000848CD" w:rsidRDefault="00642FAC" w:rsidP="00E42413">
            <w:pPr>
              <w:pStyle w:val="Default"/>
              <w:jc w:val="center"/>
              <w:rPr>
                <w:color w:val="FFFFFF"/>
                <w:sz w:val="18"/>
                <w:szCs w:val="18"/>
              </w:rPr>
            </w:pPr>
            <w:r w:rsidRPr="000848CD">
              <w:rPr>
                <w:b/>
                <w:bCs/>
                <w:color w:val="FFFFFF"/>
                <w:sz w:val="18"/>
                <w:szCs w:val="18"/>
              </w:rPr>
              <w:t>Cuenta</w:t>
            </w:r>
          </w:p>
        </w:tc>
        <w:tc>
          <w:tcPr>
            <w:tcW w:w="5195"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F6414C0" w14:textId="11625B5C" w:rsidR="00642FAC" w:rsidRPr="000848CD" w:rsidRDefault="00642FAC" w:rsidP="00E42413">
            <w:pPr>
              <w:pStyle w:val="Default"/>
              <w:jc w:val="center"/>
              <w:rPr>
                <w:color w:val="FFFFFF"/>
                <w:sz w:val="18"/>
                <w:szCs w:val="18"/>
              </w:rPr>
            </w:pPr>
            <w:r w:rsidRPr="000848CD">
              <w:rPr>
                <w:b/>
                <w:bCs/>
                <w:color w:val="FFFFFF"/>
                <w:sz w:val="18"/>
                <w:szCs w:val="18"/>
              </w:rPr>
              <w:t>Concepto</w:t>
            </w:r>
          </w:p>
        </w:tc>
        <w:tc>
          <w:tcPr>
            <w:tcW w:w="1443"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D7CCE63" w14:textId="05579AE3" w:rsidR="00642FAC" w:rsidRPr="000848CD" w:rsidRDefault="00642FAC" w:rsidP="00E42413">
            <w:pPr>
              <w:pStyle w:val="Default"/>
              <w:jc w:val="center"/>
              <w:rPr>
                <w:color w:val="FFFFFF"/>
                <w:sz w:val="18"/>
                <w:szCs w:val="18"/>
              </w:rPr>
            </w:pPr>
            <w:r w:rsidRPr="000848CD">
              <w:rPr>
                <w:b/>
                <w:bCs/>
                <w:color w:val="FFFFFF"/>
                <w:sz w:val="18"/>
                <w:szCs w:val="18"/>
              </w:rPr>
              <w:t>Años de vida útil</w:t>
            </w:r>
          </w:p>
        </w:tc>
        <w:tc>
          <w:tcPr>
            <w:tcW w:w="1551"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14:paraId="08066E21" w14:textId="0CDDAE5D" w:rsidR="00642FAC" w:rsidRPr="000848CD" w:rsidRDefault="00642FAC" w:rsidP="00E42413">
            <w:pPr>
              <w:pStyle w:val="Default"/>
              <w:jc w:val="center"/>
              <w:rPr>
                <w:color w:val="FFFFFF"/>
                <w:sz w:val="18"/>
                <w:szCs w:val="18"/>
              </w:rPr>
            </w:pPr>
            <w:r w:rsidRPr="000848CD">
              <w:rPr>
                <w:b/>
                <w:bCs/>
                <w:color w:val="FFFFFF"/>
                <w:sz w:val="18"/>
                <w:szCs w:val="18"/>
              </w:rPr>
              <w:t>% de depreciación anual</w:t>
            </w:r>
          </w:p>
        </w:tc>
      </w:tr>
      <w:tr w:rsidR="00642FAC" w:rsidRPr="000848CD" w14:paraId="0FB67526" w14:textId="77777777" w:rsidTr="000848CD">
        <w:trPr>
          <w:gridAfter w:val="1"/>
          <w:wAfter w:w="12" w:type="dxa"/>
          <w:trHeight w:val="218"/>
          <w:jc w:val="center"/>
        </w:trPr>
        <w:tc>
          <w:tcPr>
            <w:tcW w:w="1288" w:type="dxa"/>
            <w:tcBorders>
              <w:top w:val="single" w:sz="8" w:space="0" w:color="000000"/>
              <w:left w:val="single" w:sz="8" w:space="0" w:color="000000"/>
              <w:bottom w:val="single" w:sz="8" w:space="0" w:color="000000"/>
              <w:right w:val="single" w:sz="8" w:space="0" w:color="000000"/>
            </w:tcBorders>
          </w:tcPr>
          <w:p w14:paraId="2F83FC2B" w14:textId="77777777" w:rsidR="00642FAC" w:rsidRPr="000848CD" w:rsidRDefault="00642FAC" w:rsidP="001A399A">
            <w:pPr>
              <w:pStyle w:val="Texto"/>
              <w:spacing w:after="0" w:line="240" w:lineRule="auto"/>
              <w:ind w:firstLine="0"/>
              <w:rPr>
                <w:color w:val="000000"/>
                <w:szCs w:val="18"/>
              </w:rPr>
            </w:pPr>
            <w:r w:rsidRPr="000848CD">
              <w:rPr>
                <w:b/>
                <w:bCs/>
                <w:color w:val="000000"/>
                <w:szCs w:val="18"/>
              </w:rPr>
              <w:t xml:space="preserve">1.2.3 </w:t>
            </w:r>
          </w:p>
        </w:tc>
        <w:tc>
          <w:tcPr>
            <w:tcW w:w="8190" w:type="dxa"/>
            <w:gridSpan w:val="4"/>
            <w:tcBorders>
              <w:top w:val="single" w:sz="8" w:space="0" w:color="000000"/>
              <w:left w:val="single" w:sz="8" w:space="0" w:color="000000"/>
              <w:bottom w:val="single" w:sz="8" w:space="0" w:color="000000"/>
              <w:right w:val="single" w:sz="8" w:space="0" w:color="000000"/>
            </w:tcBorders>
          </w:tcPr>
          <w:p w14:paraId="756DC89F" w14:textId="77777777" w:rsidR="00642FAC" w:rsidRPr="000848CD" w:rsidRDefault="00642FAC" w:rsidP="001A399A">
            <w:pPr>
              <w:pStyle w:val="Default"/>
              <w:jc w:val="both"/>
              <w:rPr>
                <w:sz w:val="18"/>
                <w:szCs w:val="18"/>
              </w:rPr>
            </w:pPr>
            <w:r w:rsidRPr="000848CD">
              <w:rPr>
                <w:b/>
                <w:bCs/>
                <w:sz w:val="18"/>
                <w:szCs w:val="18"/>
              </w:rPr>
              <w:t xml:space="preserve">BIENES INMUEBLES, INFRAESTRUCTURA Y CONSTRUCCIONES EN PROCESO </w:t>
            </w:r>
          </w:p>
        </w:tc>
      </w:tr>
      <w:tr w:rsidR="00642FAC" w:rsidRPr="000848CD" w14:paraId="28DE6B31" w14:textId="77777777" w:rsidTr="000848CD">
        <w:trPr>
          <w:gridAfter w:val="1"/>
          <w:wAfter w:w="13" w:type="dxa"/>
          <w:trHeight w:val="157"/>
          <w:jc w:val="center"/>
        </w:trPr>
        <w:tc>
          <w:tcPr>
            <w:tcW w:w="1288" w:type="dxa"/>
            <w:tcBorders>
              <w:top w:val="single" w:sz="8" w:space="0" w:color="000000"/>
              <w:left w:val="single" w:sz="8" w:space="0" w:color="000000"/>
              <w:bottom w:val="single" w:sz="8" w:space="0" w:color="000000"/>
              <w:right w:val="single" w:sz="8" w:space="0" w:color="000000"/>
            </w:tcBorders>
          </w:tcPr>
          <w:p w14:paraId="65B8F02B" w14:textId="77777777" w:rsidR="00642FAC" w:rsidRPr="000848CD" w:rsidRDefault="00642FAC" w:rsidP="001A399A">
            <w:pPr>
              <w:pStyle w:val="Default"/>
              <w:jc w:val="both"/>
              <w:rPr>
                <w:sz w:val="18"/>
                <w:szCs w:val="18"/>
              </w:rPr>
            </w:pPr>
            <w:r w:rsidRPr="000848CD">
              <w:rPr>
                <w:sz w:val="18"/>
                <w:szCs w:val="18"/>
              </w:rPr>
              <w:t xml:space="preserve">1.2.3.2 </w:t>
            </w:r>
          </w:p>
        </w:tc>
        <w:tc>
          <w:tcPr>
            <w:tcW w:w="5195" w:type="dxa"/>
            <w:tcBorders>
              <w:top w:val="single" w:sz="8" w:space="0" w:color="000000"/>
              <w:left w:val="single" w:sz="8" w:space="0" w:color="000000"/>
              <w:bottom w:val="single" w:sz="8" w:space="0" w:color="000000"/>
              <w:right w:val="single" w:sz="8" w:space="0" w:color="000000"/>
            </w:tcBorders>
          </w:tcPr>
          <w:p w14:paraId="02E298C3" w14:textId="77777777" w:rsidR="00642FAC" w:rsidRPr="000848CD" w:rsidRDefault="00642FAC" w:rsidP="001A399A">
            <w:pPr>
              <w:pStyle w:val="Default"/>
              <w:jc w:val="both"/>
              <w:rPr>
                <w:sz w:val="18"/>
                <w:szCs w:val="18"/>
              </w:rPr>
            </w:pPr>
            <w:r w:rsidRPr="000848CD">
              <w:rPr>
                <w:sz w:val="18"/>
                <w:szCs w:val="18"/>
              </w:rPr>
              <w:t xml:space="preserve">Viviendas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4A0B1CF9" w14:textId="674419FE" w:rsidR="00642FAC" w:rsidRPr="000848CD" w:rsidRDefault="00642FAC" w:rsidP="00E42413">
            <w:pPr>
              <w:pStyle w:val="Default"/>
              <w:jc w:val="center"/>
              <w:rPr>
                <w:sz w:val="18"/>
                <w:szCs w:val="18"/>
              </w:rPr>
            </w:pPr>
            <w:r w:rsidRPr="000848CD">
              <w:rPr>
                <w:sz w:val="18"/>
                <w:szCs w:val="18"/>
              </w:rPr>
              <w:t>50</w:t>
            </w:r>
          </w:p>
        </w:tc>
        <w:tc>
          <w:tcPr>
            <w:tcW w:w="1407" w:type="dxa"/>
            <w:tcBorders>
              <w:top w:val="single" w:sz="8" w:space="0" w:color="000000"/>
              <w:left w:val="single" w:sz="8" w:space="0" w:color="000000"/>
              <w:bottom w:val="single" w:sz="8" w:space="0" w:color="000000"/>
              <w:right w:val="single" w:sz="8" w:space="0" w:color="000000"/>
            </w:tcBorders>
            <w:vAlign w:val="center"/>
          </w:tcPr>
          <w:p w14:paraId="276355C7" w14:textId="3AA60E40" w:rsidR="00642FAC" w:rsidRPr="000848CD" w:rsidRDefault="00642FAC" w:rsidP="00E42413">
            <w:pPr>
              <w:pStyle w:val="Default"/>
              <w:jc w:val="center"/>
              <w:rPr>
                <w:sz w:val="18"/>
                <w:szCs w:val="18"/>
              </w:rPr>
            </w:pPr>
            <w:r w:rsidRPr="000848CD">
              <w:rPr>
                <w:sz w:val="18"/>
                <w:szCs w:val="18"/>
              </w:rPr>
              <w:t>2</w:t>
            </w:r>
          </w:p>
        </w:tc>
      </w:tr>
      <w:tr w:rsidR="00642FAC" w:rsidRPr="000848CD" w14:paraId="153130DE"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77C2FD9B" w14:textId="77777777" w:rsidR="00642FAC" w:rsidRPr="000848CD" w:rsidRDefault="00642FAC" w:rsidP="001A399A">
            <w:pPr>
              <w:pStyle w:val="Default"/>
              <w:jc w:val="both"/>
              <w:rPr>
                <w:sz w:val="18"/>
                <w:szCs w:val="18"/>
              </w:rPr>
            </w:pPr>
            <w:r w:rsidRPr="000848CD">
              <w:rPr>
                <w:sz w:val="18"/>
                <w:szCs w:val="18"/>
              </w:rPr>
              <w:t xml:space="preserve">1.2.3.3 </w:t>
            </w:r>
          </w:p>
        </w:tc>
        <w:tc>
          <w:tcPr>
            <w:tcW w:w="5195" w:type="dxa"/>
            <w:tcBorders>
              <w:top w:val="single" w:sz="8" w:space="0" w:color="000000"/>
              <w:left w:val="single" w:sz="8" w:space="0" w:color="000000"/>
              <w:bottom w:val="single" w:sz="8" w:space="0" w:color="000000"/>
              <w:right w:val="single" w:sz="8" w:space="0" w:color="000000"/>
            </w:tcBorders>
          </w:tcPr>
          <w:p w14:paraId="0E88161A" w14:textId="77777777" w:rsidR="00642FAC" w:rsidRPr="000848CD" w:rsidRDefault="00642FAC" w:rsidP="001A399A">
            <w:pPr>
              <w:pStyle w:val="Default"/>
              <w:jc w:val="both"/>
              <w:rPr>
                <w:sz w:val="18"/>
                <w:szCs w:val="18"/>
              </w:rPr>
            </w:pPr>
            <w:r w:rsidRPr="000848CD">
              <w:rPr>
                <w:sz w:val="18"/>
                <w:szCs w:val="18"/>
              </w:rPr>
              <w:t xml:space="preserve">Edificios No Habitacionales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15C4A16A" w14:textId="0F7D7316" w:rsidR="00642FAC" w:rsidRPr="000848CD" w:rsidRDefault="00642FAC" w:rsidP="00E42413">
            <w:pPr>
              <w:pStyle w:val="Default"/>
              <w:jc w:val="center"/>
              <w:rPr>
                <w:sz w:val="18"/>
                <w:szCs w:val="18"/>
              </w:rPr>
            </w:pPr>
            <w:r w:rsidRPr="000848CD">
              <w:rPr>
                <w:sz w:val="18"/>
                <w:szCs w:val="18"/>
              </w:rPr>
              <w:t>30</w:t>
            </w:r>
          </w:p>
        </w:tc>
        <w:tc>
          <w:tcPr>
            <w:tcW w:w="1407" w:type="dxa"/>
            <w:tcBorders>
              <w:top w:val="single" w:sz="8" w:space="0" w:color="000000"/>
              <w:left w:val="single" w:sz="8" w:space="0" w:color="000000"/>
              <w:bottom w:val="single" w:sz="8" w:space="0" w:color="000000"/>
              <w:right w:val="single" w:sz="8" w:space="0" w:color="000000"/>
            </w:tcBorders>
            <w:vAlign w:val="center"/>
          </w:tcPr>
          <w:p w14:paraId="33711B4D" w14:textId="5AB4D18E" w:rsidR="00642FAC" w:rsidRPr="000848CD" w:rsidRDefault="00642FAC" w:rsidP="00E42413">
            <w:pPr>
              <w:pStyle w:val="Default"/>
              <w:jc w:val="center"/>
              <w:rPr>
                <w:sz w:val="18"/>
                <w:szCs w:val="18"/>
              </w:rPr>
            </w:pPr>
            <w:r w:rsidRPr="000848CD">
              <w:rPr>
                <w:sz w:val="18"/>
                <w:szCs w:val="18"/>
              </w:rPr>
              <w:t>3.3</w:t>
            </w:r>
          </w:p>
        </w:tc>
      </w:tr>
      <w:tr w:rsidR="00642FAC" w:rsidRPr="000848CD" w14:paraId="1C35F414"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1B2C6A99" w14:textId="77777777" w:rsidR="00642FAC" w:rsidRPr="000848CD" w:rsidRDefault="00642FAC" w:rsidP="001A399A">
            <w:pPr>
              <w:pStyle w:val="Default"/>
              <w:jc w:val="both"/>
              <w:rPr>
                <w:sz w:val="18"/>
                <w:szCs w:val="18"/>
              </w:rPr>
            </w:pPr>
            <w:r w:rsidRPr="000848CD">
              <w:rPr>
                <w:sz w:val="18"/>
                <w:szCs w:val="18"/>
              </w:rPr>
              <w:t xml:space="preserve">1.2.3.4 </w:t>
            </w:r>
          </w:p>
        </w:tc>
        <w:tc>
          <w:tcPr>
            <w:tcW w:w="5195" w:type="dxa"/>
            <w:tcBorders>
              <w:top w:val="single" w:sz="8" w:space="0" w:color="000000"/>
              <w:left w:val="single" w:sz="8" w:space="0" w:color="000000"/>
              <w:bottom w:val="single" w:sz="8" w:space="0" w:color="000000"/>
              <w:right w:val="single" w:sz="8" w:space="0" w:color="000000"/>
            </w:tcBorders>
          </w:tcPr>
          <w:p w14:paraId="12024108" w14:textId="77777777" w:rsidR="00642FAC" w:rsidRPr="000848CD" w:rsidRDefault="00642FAC" w:rsidP="001A399A">
            <w:pPr>
              <w:pStyle w:val="Default"/>
              <w:jc w:val="both"/>
              <w:rPr>
                <w:sz w:val="18"/>
                <w:szCs w:val="18"/>
              </w:rPr>
            </w:pPr>
            <w:r w:rsidRPr="000848CD">
              <w:rPr>
                <w:sz w:val="18"/>
                <w:szCs w:val="18"/>
              </w:rPr>
              <w:t xml:space="preserve">Infraestructura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7B859463" w14:textId="65D82820" w:rsidR="00642FAC" w:rsidRPr="000848CD" w:rsidRDefault="00642FAC" w:rsidP="00E42413">
            <w:pPr>
              <w:pStyle w:val="Default"/>
              <w:jc w:val="center"/>
              <w:rPr>
                <w:sz w:val="18"/>
                <w:szCs w:val="18"/>
              </w:rPr>
            </w:pPr>
            <w:r w:rsidRPr="000848CD">
              <w:rPr>
                <w:sz w:val="18"/>
                <w:szCs w:val="18"/>
              </w:rPr>
              <w:t>25</w:t>
            </w:r>
          </w:p>
        </w:tc>
        <w:tc>
          <w:tcPr>
            <w:tcW w:w="1407" w:type="dxa"/>
            <w:tcBorders>
              <w:top w:val="single" w:sz="8" w:space="0" w:color="000000"/>
              <w:left w:val="single" w:sz="8" w:space="0" w:color="000000"/>
              <w:bottom w:val="single" w:sz="8" w:space="0" w:color="000000"/>
              <w:right w:val="single" w:sz="8" w:space="0" w:color="000000"/>
            </w:tcBorders>
            <w:vAlign w:val="center"/>
          </w:tcPr>
          <w:p w14:paraId="4E9A9AEA" w14:textId="308830E9" w:rsidR="00642FAC" w:rsidRPr="000848CD" w:rsidRDefault="00642FAC" w:rsidP="00E42413">
            <w:pPr>
              <w:pStyle w:val="Default"/>
              <w:jc w:val="center"/>
              <w:rPr>
                <w:sz w:val="18"/>
                <w:szCs w:val="18"/>
              </w:rPr>
            </w:pPr>
            <w:r w:rsidRPr="000848CD">
              <w:rPr>
                <w:sz w:val="18"/>
                <w:szCs w:val="18"/>
              </w:rPr>
              <w:t>4</w:t>
            </w:r>
          </w:p>
        </w:tc>
      </w:tr>
      <w:tr w:rsidR="00642FAC" w:rsidRPr="000848CD" w14:paraId="69BBCAE5"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5CE15A69" w14:textId="77777777" w:rsidR="00642FAC" w:rsidRPr="000848CD" w:rsidRDefault="00642FAC" w:rsidP="001A399A">
            <w:pPr>
              <w:pStyle w:val="Default"/>
              <w:jc w:val="both"/>
              <w:rPr>
                <w:sz w:val="18"/>
                <w:szCs w:val="18"/>
              </w:rPr>
            </w:pPr>
            <w:r w:rsidRPr="000848CD">
              <w:rPr>
                <w:sz w:val="18"/>
                <w:szCs w:val="18"/>
              </w:rPr>
              <w:t xml:space="preserve">1.2.3.9 </w:t>
            </w:r>
          </w:p>
        </w:tc>
        <w:tc>
          <w:tcPr>
            <w:tcW w:w="5195" w:type="dxa"/>
            <w:tcBorders>
              <w:top w:val="single" w:sz="8" w:space="0" w:color="000000"/>
              <w:left w:val="single" w:sz="8" w:space="0" w:color="000000"/>
              <w:bottom w:val="single" w:sz="8" w:space="0" w:color="000000"/>
              <w:right w:val="single" w:sz="8" w:space="0" w:color="000000"/>
            </w:tcBorders>
          </w:tcPr>
          <w:p w14:paraId="4C56625C" w14:textId="77777777" w:rsidR="00642FAC" w:rsidRPr="000848CD" w:rsidRDefault="00642FAC" w:rsidP="001A399A">
            <w:pPr>
              <w:pStyle w:val="Default"/>
              <w:jc w:val="both"/>
              <w:rPr>
                <w:sz w:val="18"/>
                <w:szCs w:val="18"/>
              </w:rPr>
            </w:pPr>
            <w:r w:rsidRPr="000848CD">
              <w:rPr>
                <w:sz w:val="18"/>
                <w:szCs w:val="18"/>
              </w:rPr>
              <w:t xml:space="preserve">Otros Bienes Inmuebles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290832B3" w14:textId="73C939F3" w:rsidR="00642FAC" w:rsidRPr="000848CD" w:rsidRDefault="00642FAC" w:rsidP="00E42413">
            <w:pPr>
              <w:pStyle w:val="Default"/>
              <w:jc w:val="center"/>
              <w:rPr>
                <w:sz w:val="18"/>
                <w:szCs w:val="18"/>
              </w:rPr>
            </w:pPr>
            <w:r w:rsidRPr="000848CD">
              <w:rPr>
                <w:sz w:val="18"/>
                <w:szCs w:val="18"/>
              </w:rPr>
              <w:t>20</w:t>
            </w:r>
          </w:p>
        </w:tc>
        <w:tc>
          <w:tcPr>
            <w:tcW w:w="1407" w:type="dxa"/>
            <w:tcBorders>
              <w:top w:val="single" w:sz="8" w:space="0" w:color="000000"/>
              <w:left w:val="single" w:sz="8" w:space="0" w:color="000000"/>
              <w:bottom w:val="single" w:sz="8" w:space="0" w:color="000000"/>
              <w:right w:val="single" w:sz="8" w:space="0" w:color="000000"/>
            </w:tcBorders>
            <w:vAlign w:val="center"/>
          </w:tcPr>
          <w:p w14:paraId="3A8DB73F" w14:textId="09C12148" w:rsidR="00642FAC" w:rsidRPr="000848CD" w:rsidRDefault="00642FAC" w:rsidP="00E42413">
            <w:pPr>
              <w:pStyle w:val="Default"/>
              <w:jc w:val="center"/>
              <w:rPr>
                <w:sz w:val="18"/>
                <w:szCs w:val="18"/>
              </w:rPr>
            </w:pPr>
            <w:r w:rsidRPr="000848CD">
              <w:rPr>
                <w:sz w:val="18"/>
                <w:szCs w:val="18"/>
              </w:rPr>
              <w:t>5</w:t>
            </w:r>
          </w:p>
        </w:tc>
      </w:tr>
      <w:tr w:rsidR="00642FAC" w:rsidRPr="000848CD" w14:paraId="2D31063A" w14:textId="77777777" w:rsidTr="000848CD">
        <w:trPr>
          <w:gridAfter w:val="1"/>
          <w:wAfter w:w="12" w:type="dxa"/>
          <w:trHeight w:val="69"/>
          <w:jc w:val="center"/>
        </w:trPr>
        <w:tc>
          <w:tcPr>
            <w:tcW w:w="1288" w:type="dxa"/>
            <w:tcBorders>
              <w:top w:val="single" w:sz="8" w:space="0" w:color="000000"/>
              <w:left w:val="single" w:sz="8" w:space="0" w:color="000000"/>
              <w:bottom w:val="single" w:sz="8" w:space="0" w:color="000000"/>
              <w:right w:val="single" w:sz="8" w:space="0" w:color="000000"/>
            </w:tcBorders>
          </w:tcPr>
          <w:p w14:paraId="64639951" w14:textId="77777777" w:rsidR="00642FAC" w:rsidRPr="000848CD" w:rsidRDefault="00642FAC" w:rsidP="001A399A">
            <w:pPr>
              <w:pStyle w:val="Default"/>
              <w:jc w:val="both"/>
              <w:rPr>
                <w:sz w:val="18"/>
                <w:szCs w:val="18"/>
              </w:rPr>
            </w:pPr>
            <w:r w:rsidRPr="000848CD">
              <w:rPr>
                <w:b/>
                <w:bCs/>
                <w:sz w:val="18"/>
                <w:szCs w:val="18"/>
              </w:rPr>
              <w:t xml:space="preserve">1.2.4 </w:t>
            </w:r>
          </w:p>
        </w:tc>
        <w:tc>
          <w:tcPr>
            <w:tcW w:w="8190" w:type="dxa"/>
            <w:gridSpan w:val="4"/>
            <w:tcBorders>
              <w:top w:val="single" w:sz="8" w:space="0" w:color="000000"/>
              <w:left w:val="single" w:sz="8" w:space="0" w:color="000000"/>
              <w:bottom w:val="single" w:sz="8" w:space="0" w:color="000000"/>
              <w:right w:val="single" w:sz="8" w:space="0" w:color="000000"/>
            </w:tcBorders>
          </w:tcPr>
          <w:p w14:paraId="5BFDA85E" w14:textId="77777777" w:rsidR="00642FAC" w:rsidRPr="000848CD" w:rsidRDefault="00642FAC" w:rsidP="001A399A">
            <w:pPr>
              <w:pStyle w:val="Default"/>
              <w:jc w:val="both"/>
              <w:rPr>
                <w:sz w:val="18"/>
                <w:szCs w:val="18"/>
              </w:rPr>
            </w:pPr>
            <w:r w:rsidRPr="000848CD">
              <w:rPr>
                <w:b/>
                <w:bCs/>
                <w:sz w:val="18"/>
                <w:szCs w:val="18"/>
              </w:rPr>
              <w:t xml:space="preserve">BIENES MUEBLES </w:t>
            </w:r>
          </w:p>
        </w:tc>
      </w:tr>
      <w:tr w:rsidR="00642FAC" w:rsidRPr="000848CD" w14:paraId="2E0A4212" w14:textId="77777777" w:rsidTr="000848CD">
        <w:trPr>
          <w:trHeight w:val="69"/>
          <w:jc w:val="center"/>
        </w:trPr>
        <w:tc>
          <w:tcPr>
            <w:tcW w:w="1288" w:type="dxa"/>
            <w:tcBorders>
              <w:top w:val="single" w:sz="8" w:space="0" w:color="000000"/>
              <w:left w:val="single" w:sz="8" w:space="0" w:color="000000"/>
              <w:bottom w:val="single" w:sz="8" w:space="0" w:color="000000"/>
              <w:right w:val="single" w:sz="8" w:space="0" w:color="000000"/>
            </w:tcBorders>
          </w:tcPr>
          <w:p w14:paraId="4CC89E02" w14:textId="77777777" w:rsidR="00642FAC" w:rsidRPr="000848CD" w:rsidRDefault="00642FAC" w:rsidP="001A399A">
            <w:pPr>
              <w:pStyle w:val="Default"/>
              <w:jc w:val="both"/>
              <w:rPr>
                <w:sz w:val="18"/>
                <w:szCs w:val="18"/>
              </w:rPr>
            </w:pPr>
            <w:r w:rsidRPr="000848CD">
              <w:rPr>
                <w:b/>
                <w:bCs/>
                <w:sz w:val="18"/>
                <w:szCs w:val="18"/>
              </w:rPr>
              <w:t xml:space="preserve">1.2.4.1 </w:t>
            </w:r>
          </w:p>
        </w:tc>
        <w:tc>
          <w:tcPr>
            <w:tcW w:w="8202" w:type="dxa"/>
            <w:gridSpan w:val="5"/>
            <w:tcBorders>
              <w:top w:val="single" w:sz="8" w:space="0" w:color="000000"/>
              <w:left w:val="single" w:sz="8" w:space="0" w:color="000000"/>
              <w:bottom w:val="single" w:sz="8" w:space="0" w:color="000000"/>
              <w:right w:val="single" w:sz="8" w:space="0" w:color="000000"/>
            </w:tcBorders>
          </w:tcPr>
          <w:p w14:paraId="4762A2BF" w14:textId="77777777" w:rsidR="00642FAC" w:rsidRPr="000848CD" w:rsidRDefault="00642FAC" w:rsidP="001A399A">
            <w:pPr>
              <w:pStyle w:val="Default"/>
              <w:jc w:val="both"/>
              <w:rPr>
                <w:sz w:val="18"/>
                <w:szCs w:val="18"/>
              </w:rPr>
            </w:pPr>
            <w:r w:rsidRPr="000848CD">
              <w:rPr>
                <w:b/>
                <w:bCs/>
                <w:sz w:val="18"/>
                <w:szCs w:val="18"/>
              </w:rPr>
              <w:t xml:space="preserve">Mobiliario y Equipo de Administración </w:t>
            </w:r>
          </w:p>
        </w:tc>
      </w:tr>
      <w:tr w:rsidR="00642FAC" w:rsidRPr="000848CD" w14:paraId="19FBC021"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5A95675B" w14:textId="77777777" w:rsidR="00642FAC" w:rsidRPr="000848CD" w:rsidRDefault="00642FAC" w:rsidP="001A399A">
            <w:pPr>
              <w:pStyle w:val="Default"/>
              <w:jc w:val="both"/>
              <w:rPr>
                <w:sz w:val="18"/>
                <w:szCs w:val="18"/>
              </w:rPr>
            </w:pPr>
            <w:r w:rsidRPr="000848CD">
              <w:rPr>
                <w:sz w:val="18"/>
                <w:szCs w:val="18"/>
              </w:rPr>
              <w:t xml:space="preserve">1.2.4.1.1 </w:t>
            </w:r>
          </w:p>
        </w:tc>
        <w:tc>
          <w:tcPr>
            <w:tcW w:w="5195" w:type="dxa"/>
            <w:tcBorders>
              <w:top w:val="single" w:sz="8" w:space="0" w:color="000000"/>
              <w:left w:val="single" w:sz="8" w:space="0" w:color="000000"/>
              <w:bottom w:val="single" w:sz="8" w:space="0" w:color="000000"/>
              <w:right w:val="single" w:sz="8" w:space="0" w:color="000000"/>
            </w:tcBorders>
          </w:tcPr>
          <w:p w14:paraId="30AAFE74" w14:textId="77777777" w:rsidR="00642FAC" w:rsidRPr="000848CD" w:rsidRDefault="00642FAC" w:rsidP="001A399A">
            <w:pPr>
              <w:pStyle w:val="Default"/>
              <w:jc w:val="both"/>
              <w:rPr>
                <w:sz w:val="18"/>
                <w:szCs w:val="18"/>
              </w:rPr>
            </w:pPr>
            <w:r w:rsidRPr="000848CD">
              <w:rPr>
                <w:sz w:val="18"/>
                <w:szCs w:val="18"/>
              </w:rPr>
              <w:t xml:space="preserve">Muebles de Oficina y Estantería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2AF06D4D" w14:textId="51268053" w:rsidR="00642FAC" w:rsidRPr="000848CD" w:rsidRDefault="00642FAC" w:rsidP="00E42413">
            <w:pPr>
              <w:pStyle w:val="Default"/>
              <w:jc w:val="center"/>
              <w:rPr>
                <w:sz w:val="18"/>
                <w:szCs w:val="18"/>
              </w:rPr>
            </w:pPr>
            <w:r w:rsidRPr="000848CD">
              <w:rPr>
                <w:sz w:val="18"/>
                <w:szCs w:val="18"/>
              </w:rPr>
              <w:t>10</w:t>
            </w:r>
          </w:p>
        </w:tc>
        <w:tc>
          <w:tcPr>
            <w:tcW w:w="1407" w:type="dxa"/>
            <w:tcBorders>
              <w:top w:val="single" w:sz="8" w:space="0" w:color="000000"/>
              <w:left w:val="single" w:sz="8" w:space="0" w:color="000000"/>
              <w:bottom w:val="single" w:sz="8" w:space="0" w:color="000000"/>
              <w:right w:val="single" w:sz="8" w:space="0" w:color="000000"/>
            </w:tcBorders>
            <w:vAlign w:val="center"/>
          </w:tcPr>
          <w:p w14:paraId="649DEF8C" w14:textId="4D15E0B2" w:rsidR="00642FAC" w:rsidRPr="000848CD" w:rsidRDefault="00642FAC" w:rsidP="00E42413">
            <w:pPr>
              <w:pStyle w:val="Default"/>
              <w:jc w:val="center"/>
              <w:rPr>
                <w:sz w:val="18"/>
                <w:szCs w:val="18"/>
              </w:rPr>
            </w:pPr>
            <w:r w:rsidRPr="000848CD">
              <w:rPr>
                <w:sz w:val="18"/>
                <w:szCs w:val="18"/>
              </w:rPr>
              <w:t>10</w:t>
            </w:r>
          </w:p>
        </w:tc>
      </w:tr>
      <w:tr w:rsidR="00642FAC" w:rsidRPr="000848CD" w14:paraId="5B60DD38"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6A066589" w14:textId="77777777" w:rsidR="00642FAC" w:rsidRPr="000848CD" w:rsidRDefault="00642FAC" w:rsidP="001A399A">
            <w:pPr>
              <w:pStyle w:val="Default"/>
              <w:jc w:val="both"/>
              <w:rPr>
                <w:sz w:val="18"/>
                <w:szCs w:val="18"/>
              </w:rPr>
            </w:pPr>
            <w:r w:rsidRPr="000848CD">
              <w:rPr>
                <w:sz w:val="18"/>
                <w:szCs w:val="18"/>
              </w:rPr>
              <w:t xml:space="preserve">1.2.4.1.2 </w:t>
            </w:r>
          </w:p>
        </w:tc>
        <w:tc>
          <w:tcPr>
            <w:tcW w:w="5195" w:type="dxa"/>
            <w:tcBorders>
              <w:top w:val="single" w:sz="8" w:space="0" w:color="000000"/>
              <w:left w:val="single" w:sz="8" w:space="0" w:color="000000"/>
              <w:bottom w:val="single" w:sz="8" w:space="0" w:color="000000"/>
              <w:right w:val="single" w:sz="8" w:space="0" w:color="000000"/>
            </w:tcBorders>
          </w:tcPr>
          <w:p w14:paraId="127237C7" w14:textId="77777777" w:rsidR="00642FAC" w:rsidRPr="000848CD" w:rsidRDefault="00642FAC" w:rsidP="001A399A">
            <w:pPr>
              <w:pStyle w:val="Default"/>
              <w:jc w:val="both"/>
              <w:rPr>
                <w:sz w:val="18"/>
                <w:szCs w:val="18"/>
              </w:rPr>
            </w:pPr>
            <w:r w:rsidRPr="000848CD">
              <w:rPr>
                <w:sz w:val="18"/>
                <w:szCs w:val="18"/>
              </w:rPr>
              <w:t xml:space="preserve">Muebles, Excepto De Oficina Y Estantería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42D27C33" w14:textId="5B59DFC2" w:rsidR="00642FAC" w:rsidRPr="000848CD" w:rsidRDefault="00642FAC" w:rsidP="00E42413">
            <w:pPr>
              <w:pStyle w:val="Default"/>
              <w:jc w:val="center"/>
              <w:rPr>
                <w:sz w:val="18"/>
                <w:szCs w:val="18"/>
              </w:rPr>
            </w:pPr>
            <w:r w:rsidRPr="000848CD">
              <w:rPr>
                <w:sz w:val="18"/>
                <w:szCs w:val="18"/>
              </w:rPr>
              <w:t>10</w:t>
            </w:r>
          </w:p>
        </w:tc>
        <w:tc>
          <w:tcPr>
            <w:tcW w:w="1407" w:type="dxa"/>
            <w:tcBorders>
              <w:top w:val="single" w:sz="8" w:space="0" w:color="000000"/>
              <w:left w:val="single" w:sz="8" w:space="0" w:color="000000"/>
              <w:bottom w:val="single" w:sz="8" w:space="0" w:color="000000"/>
              <w:right w:val="single" w:sz="8" w:space="0" w:color="000000"/>
            </w:tcBorders>
            <w:vAlign w:val="center"/>
          </w:tcPr>
          <w:p w14:paraId="1FF37F21" w14:textId="21EA002D" w:rsidR="00642FAC" w:rsidRPr="000848CD" w:rsidRDefault="00642FAC" w:rsidP="00E42413">
            <w:pPr>
              <w:pStyle w:val="Default"/>
              <w:jc w:val="center"/>
              <w:rPr>
                <w:sz w:val="18"/>
                <w:szCs w:val="18"/>
              </w:rPr>
            </w:pPr>
            <w:r w:rsidRPr="000848CD">
              <w:rPr>
                <w:sz w:val="18"/>
                <w:szCs w:val="18"/>
              </w:rPr>
              <w:t>10</w:t>
            </w:r>
          </w:p>
        </w:tc>
      </w:tr>
      <w:tr w:rsidR="00642FAC" w:rsidRPr="000848CD" w14:paraId="57B55441"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2E138B15" w14:textId="77777777" w:rsidR="00642FAC" w:rsidRPr="000848CD" w:rsidRDefault="00642FAC" w:rsidP="001A399A">
            <w:pPr>
              <w:pStyle w:val="Default"/>
              <w:jc w:val="both"/>
              <w:rPr>
                <w:sz w:val="18"/>
                <w:szCs w:val="18"/>
              </w:rPr>
            </w:pPr>
            <w:r w:rsidRPr="000848CD">
              <w:rPr>
                <w:sz w:val="18"/>
                <w:szCs w:val="18"/>
              </w:rPr>
              <w:lastRenderedPageBreak/>
              <w:t xml:space="preserve">1.2.4.1.3 </w:t>
            </w:r>
          </w:p>
        </w:tc>
        <w:tc>
          <w:tcPr>
            <w:tcW w:w="5195" w:type="dxa"/>
            <w:tcBorders>
              <w:top w:val="single" w:sz="8" w:space="0" w:color="000000"/>
              <w:left w:val="single" w:sz="8" w:space="0" w:color="000000"/>
              <w:bottom w:val="single" w:sz="8" w:space="0" w:color="000000"/>
              <w:right w:val="single" w:sz="8" w:space="0" w:color="000000"/>
            </w:tcBorders>
          </w:tcPr>
          <w:p w14:paraId="3ECB6106" w14:textId="77777777" w:rsidR="00642FAC" w:rsidRPr="000848CD" w:rsidRDefault="00642FAC" w:rsidP="001A399A">
            <w:pPr>
              <w:pStyle w:val="Default"/>
              <w:jc w:val="both"/>
              <w:rPr>
                <w:sz w:val="18"/>
                <w:szCs w:val="18"/>
              </w:rPr>
            </w:pPr>
            <w:r w:rsidRPr="000848CD">
              <w:rPr>
                <w:sz w:val="18"/>
                <w:szCs w:val="18"/>
              </w:rPr>
              <w:t xml:space="preserve">Equipo de Cómputo y de Tecnologías de la Información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1B55E618" w14:textId="29158B00" w:rsidR="00642FAC" w:rsidRPr="000848CD" w:rsidRDefault="00642FAC" w:rsidP="00E42413">
            <w:pPr>
              <w:pStyle w:val="Default"/>
              <w:jc w:val="center"/>
              <w:rPr>
                <w:sz w:val="18"/>
                <w:szCs w:val="18"/>
              </w:rPr>
            </w:pPr>
            <w:r w:rsidRPr="000848CD">
              <w:rPr>
                <w:sz w:val="18"/>
                <w:szCs w:val="18"/>
              </w:rPr>
              <w:t>3</w:t>
            </w:r>
          </w:p>
        </w:tc>
        <w:tc>
          <w:tcPr>
            <w:tcW w:w="1407" w:type="dxa"/>
            <w:tcBorders>
              <w:top w:val="single" w:sz="8" w:space="0" w:color="000000"/>
              <w:left w:val="single" w:sz="8" w:space="0" w:color="000000"/>
              <w:bottom w:val="single" w:sz="8" w:space="0" w:color="000000"/>
              <w:right w:val="single" w:sz="8" w:space="0" w:color="000000"/>
            </w:tcBorders>
            <w:vAlign w:val="center"/>
          </w:tcPr>
          <w:p w14:paraId="4968E210" w14:textId="3A8251DF" w:rsidR="00642FAC" w:rsidRPr="000848CD" w:rsidRDefault="00642FAC" w:rsidP="00E42413">
            <w:pPr>
              <w:pStyle w:val="Default"/>
              <w:jc w:val="center"/>
              <w:rPr>
                <w:sz w:val="18"/>
                <w:szCs w:val="18"/>
              </w:rPr>
            </w:pPr>
            <w:r w:rsidRPr="000848CD">
              <w:rPr>
                <w:sz w:val="18"/>
                <w:szCs w:val="18"/>
              </w:rPr>
              <w:t>33.3</w:t>
            </w:r>
          </w:p>
        </w:tc>
      </w:tr>
      <w:tr w:rsidR="00642FAC" w:rsidRPr="000848CD" w14:paraId="37D5C759"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626E36A6" w14:textId="77777777" w:rsidR="00642FAC" w:rsidRPr="000848CD" w:rsidRDefault="00642FAC" w:rsidP="001A399A">
            <w:pPr>
              <w:pStyle w:val="Default"/>
              <w:jc w:val="both"/>
              <w:rPr>
                <w:sz w:val="18"/>
                <w:szCs w:val="18"/>
              </w:rPr>
            </w:pPr>
            <w:r w:rsidRPr="000848CD">
              <w:rPr>
                <w:sz w:val="18"/>
                <w:szCs w:val="18"/>
              </w:rPr>
              <w:t xml:space="preserve">1.2.4.1.9 </w:t>
            </w:r>
          </w:p>
        </w:tc>
        <w:tc>
          <w:tcPr>
            <w:tcW w:w="5195" w:type="dxa"/>
            <w:tcBorders>
              <w:top w:val="single" w:sz="8" w:space="0" w:color="000000"/>
              <w:left w:val="single" w:sz="8" w:space="0" w:color="000000"/>
              <w:bottom w:val="single" w:sz="8" w:space="0" w:color="000000"/>
              <w:right w:val="single" w:sz="8" w:space="0" w:color="000000"/>
            </w:tcBorders>
          </w:tcPr>
          <w:p w14:paraId="393373DE" w14:textId="77777777" w:rsidR="00642FAC" w:rsidRPr="000848CD" w:rsidRDefault="00642FAC" w:rsidP="001A399A">
            <w:pPr>
              <w:pStyle w:val="Default"/>
              <w:jc w:val="both"/>
              <w:rPr>
                <w:sz w:val="18"/>
                <w:szCs w:val="18"/>
              </w:rPr>
            </w:pPr>
            <w:r w:rsidRPr="000848CD">
              <w:rPr>
                <w:sz w:val="18"/>
                <w:szCs w:val="18"/>
              </w:rPr>
              <w:t xml:space="preserve">Otros Mobiliarios y Equipos de Administración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05F0E544" w14:textId="348BADCE" w:rsidR="00642FAC" w:rsidRPr="000848CD" w:rsidRDefault="00642FAC" w:rsidP="00E42413">
            <w:pPr>
              <w:pStyle w:val="Default"/>
              <w:jc w:val="center"/>
              <w:rPr>
                <w:sz w:val="18"/>
                <w:szCs w:val="18"/>
              </w:rPr>
            </w:pPr>
            <w:r w:rsidRPr="000848CD">
              <w:rPr>
                <w:sz w:val="18"/>
                <w:szCs w:val="18"/>
              </w:rPr>
              <w:t>10</w:t>
            </w:r>
          </w:p>
        </w:tc>
        <w:tc>
          <w:tcPr>
            <w:tcW w:w="1407" w:type="dxa"/>
            <w:tcBorders>
              <w:top w:val="single" w:sz="8" w:space="0" w:color="000000"/>
              <w:left w:val="single" w:sz="8" w:space="0" w:color="000000"/>
              <w:bottom w:val="single" w:sz="8" w:space="0" w:color="000000"/>
              <w:right w:val="single" w:sz="8" w:space="0" w:color="000000"/>
            </w:tcBorders>
            <w:vAlign w:val="center"/>
          </w:tcPr>
          <w:p w14:paraId="05981E79" w14:textId="6D9790D9" w:rsidR="00642FAC" w:rsidRPr="000848CD" w:rsidRDefault="00642FAC" w:rsidP="00E42413">
            <w:pPr>
              <w:pStyle w:val="Default"/>
              <w:jc w:val="center"/>
              <w:rPr>
                <w:sz w:val="18"/>
                <w:szCs w:val="18"/>
              </w:rPr>
            </w:pPr>
            <w:r w:rsidRPr="000848CD">
              <w:rPr>
                <w:sz w:val="18"/>
                <w:szCs w:val="18"/>
              </w:rPr>
              <w:t>10</w:t>
            </w:r>
          </w:p>
        </w:tc>
      </w:tr>
      <w:tr w:rsidR="00642FAC" w:rsidRPr="000848CD" w14:paraId="24AB6D03" w14:textId="77777777" w:rsidTr="000848CD">
        <w:trPr>
          <w:gridAfter w:val="1"/>
          <w:wAfter w:w="12" w:type="dxa"/>
          <w:trHeight w:val="69"/>
          <w:jc w:val="center"/>
        </w:trPr>
        <w:tc>
          <w:tcPr>
            <w:tcW w:w="1288" w:type="dxa"/>
            <w:tcBorders>
              <w:top w:val="single" w:sz="8" w:space="0" w:color="000000"/>
              <w:left w:val="single" w:sz="8" w:space="0" w:color="000000"/>
              <w:bottom w:val="single" w:sz="8" w:space="0" w:color="000000"/>
              <w:right w:val="single" w:sz="8" w:space="0" w:color="000000"/>
            </w:tcBorders>
          </w:tcPr>
          <w:p w14:paraId="1F4D6E70" w14:textId="77777777" w:rsidR="00642FAC" w:rsidRPr="000848CD" w:rsidRDefault="00642FAC" w:rsidP="001A399A">
            <w:pPr>
              <w:pStyle w:val="Default"/>
              <w:jc w:val="both"/>
              <w:rPr>
                <w:sz w:val="18"/>
                <w:szCs w:val="18"/>
              </w:rPr>
            </w:pPr>
            <w:r w:rsidRPr="000848CD">
              <w:rPr>
                <w:b/>
                <w:bCs/>
                <w:sz w:val="18"/>
                <w:szCs w:val="18"/>
              </w:rPr>
              <w:t xml:space="preserve">1.2.4.2 </w:t>
            </w:r>
          </w:p>
        </w:tc>
        <w:tc>
          <w:tcPr>
            <w:tcW w:w="8190" w:type="dxa"/>
            <w:gridSpan w:val="4"/>
            <w:tcBorders>
              <w:top w:val="single" w:sz="8" w:space="0" w:color="000000"/>
              <w:left w:val="single" w:sz="8" w:space="0" w:color="000000"/>
              <w:bottom w:val="single" w:sz="8" w:space="0" w:color="000000"/>
              <w:right w:val="single" w:sz="8" w:space="0" w:color="000000"/>
            </w:tcBorders>
          </w:tcPr>
          <w:p w14:paraId="78926EA3" w14:textId="77777777" w:rsidR="00642FAC" w:rsidRPr="000848CD" w:rsidRDefault="00642FAC" w:rsidP="001A399A">
            <w:pPr>
              <w:pStyle w:val="Default"/>
              <w:jc w:val="both"/>
              <w:rPr>
                <w:sz w:val="18"/>
                <w:szCs w:val="18"/>
              </w:rPr>
            </w:pPr>
            <w:r w:rsidRPr="000848CD">
              <w:rPr>
                <w:b/>
                <w:bCs/>
                <w:sz w:val="18"/>
                <w:szCs w:val="18"/>
              </w:rPr>
              <w:t xml:space="preserve">Mobiliario y Equipo Educacional y Recreativo </w:t>
            </w:r>
          </w:p>
        </w:tc>
      </w:tr>
      <w:tr w:rsidR="00642FAC" w:rsidRPr="000848CD" w14:paraId="2485DE75"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5F81C110" w14:textId="77777777" w:rsidR="00642FAC" w:rsidRPr="000848CD" w:rsidRDefault="00642FAC" w:rsidP="001A399A">
            <w:pPr>
              <w:pStyle w:val="Default"/>
              <w:jc w:val="both"/>
              <w:rPr>
                <w:sz w:val="18"/>
                <w:szCs w:val="18"/>
              </w:rPr>
            </w:pPr>
            <w:r w:rsidRPr="000848CD">
              <w:rPr>
                <w:sz w:val="18"/>
                <w:szCs w:val="18"/>
              </w:rPr>
              <w:t xml:space="preserve">1.2.4.2.1 </w:t>
            </w:r>
          </w:p>
        </w:tc>
        <w:tc>
          <w:tcPr>
            <w:tcW w:w="5195" w:type="dxa"/>
            <w:tcBorders>
              <w:top w:val="single" w:sz="8" w:space="0" w:color="000000"/>
              <w:left w:val="single" w:sz="8" w:space="0" w:color="000000"/>
              <w:bottom w:val="single" w:sz="8" w:space="0" w:color="000000"/>
              <w:right w:val="single" w:sz="8" w:space="0" w:color="000000"/>
            </w:tcBorders>
          </w:tcPr>
          <w:p w14:paraId="0FD86CC4" w14:textId="77777777" w:rsidR="00642FAC" w:rsidRPr="000848CD" w:rsidRDefault="00642FAC" w:rsidP="001A399A">
            <w:pPr>
              <w:pStyle w:val="Default"/>
              <w:jc w:val="both"/>
              <w:rPr>
                <w:sz w:val="18"/>
                <w:szCs w:val="18"/>
              </w:rPr>
            </w:pPr>
            <w:r w:rsidRPr="000848CD">
              <w:rPr>
                <w:sz w:val="18"/>
                <w:szCs w:val="18"/>
              </w:rPr>
              <w:t xml:space="preserve">Equipos y Aparatos Audiovisuales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7CD14888" w14:textId="6A9CCCF1" w:rsidR="00642FAC" w:rsidRPr="000848CD" w:rsidRDefault="00642FAC" w:rsidP="00E42413">
            <w:pPr>
              <w:pStyle w:val="Default"/>
              <w:jc w:val="center"/>
              <w:rPr>
                <w:sz w:val="18"/>
                <w:szCs w:val="18"/>
              </w:rPr>
            </w:pPr>
            <w:r w:rsidRPr="000848CD">
              <w:rPr>
                <w:sz w:val="18"/>
                <w:szCs w:val="18"/>
              </w:rPr>
              <w:t>3</w:t>
            </w:r>
          </w:p>
        </w:tc>
        <w:tc>
          <w:tcPr>
            <w:tcW w:w="1407" w:type="dxa"/>
            <w:tcBorders>
              <w:top w:val="single" w:sz="8" w:space="0" w:color="000000"/>
              <w:left w:val="single" w:sz="8" w:space="0" w:color="000000"/>
              <w:bottom w:val="single" w:sz="8" w:space="0" w:color="000000"/>
              <w:right w:val="single" w:sz="8" w:space="0" w:color="000000"/>
            </w:tcBorders>
            <w:vAlign w:val="center"/>
          </w:tcPr>
          <w:p w14:paraId="03D8857E" w14:textId="1C6F19FC" w:rsidR="00642FAC" w:rsidRPr="000848CD" w:rsidRDefault="00642FAC" w:rsidP="00E42413">
            <w:pPr>
              <w:pStyle w:val="Default"/>
              <w:jc w:val="center"/>
              <w:rPr>
                <w:sz w:val="18"/>
                <w:szCs w:val="18"/>
              </w:rPr>
            </w:pPr>
            <w:r w:rsidRPr="000848CD">
              <w:rPr>
                <w:sz w:val="18"/>
                <w:szCs w:val="18"/>
              </w:rPr>
              <w:t>33.3</w:t>
            </w:r>
          </w:p>
        </w:tc>
      </w:tr>
      <w:tr w:rsidR="00642FAC" w:rsidRPr="000848CD" w14:paraId="585DEFFC"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3EB4045F" w14:textId="77777777" w:rsidR="00642FAC" w:rsidRPr="000848CD" w:rsidRDefault="00642FAC" w:rsidP="001A399A">
            <w:pPr>
              <w:pStyle w:val="Default"/>
              <w:jc w:val="both"/>
              <w:rPr>
                <w:sz w:val="18"/>
                <w:szCs w:val="18"/>
              </w:rPr>
            </w:pPr>
            <w:r w:rsidRPr="000848CD">
              <w:rPr>
                <w:sz w:val="18"/>
                <w:szCs w:val="18"/>
              </w:rPr>
              <w:t xml:space="preserve">1.2.4.2.2 </w:t>
            </w:r>
          </w:p>
        </w:tc>
        <w:tc>
          <w:tcPr>
            <w:tcW w:w="5195" w:type="dxa"/>
            <w:tcBorders>
              <w:top w:val="single" w:sz="8" w:space="0" w:color="000000"/>
              <w:left w:val="single" w:sz="8" w:space="0" w:color="000000"/>
              <w:bottom w:val="single" w:sz="8" w:space="0" w:color="000000"/>
              <w:right w:val="single" w:sz="8" w:space="0" w:color="000000"/>
            </w:tcBorders>
          </w:tcPr>
          <w:p w14:paraId="1B18907F" w14:textId="77777777" w:rsidR="00642FAC" w:rsidRPr="000848CD" w:rsidRDefault="00642FAC" w:rsidP="001A399A">
            <w:pPr>
              <w:pStyle w:val="Default"/>
              <w:jc w:val="both"/>
              <w:rPr>
                <w:sz w:val="18"/>
                <w:szCs w:val="18"/>
              </w:rPr>
            </w:pPr>
            <w:r w:rsidRPr="000848CD">
              <w:rPr>
                <w:sz w:val="18"/>
                <w:szCs w:val="18"/>
              </w:rPr>
              <w:t xml:space="preserve">Aparatos Deportivos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186C25C4" w14:textId="6D44A99E" w:rsidR="00642FAC" w:rsidRPr="000848CD" w:rsidRDefault="00642FAC" w:rsidP="00E42413">
            <w:pPr>
              <w:pStyle w:val="Default"/>
              <w:jc w:val="center"/>
              <w:rPr>
                <w:sz w:val="18"/>
                <w:szCs w:val="18"/>
              </w:rPr>
            </w:pPr>
            <w:r w:rsidRPr="000848CD">
              <w:rPr>
                <w:sz w:val="18"/>
                <w:szCs w:val="18"/>
              </w:rPr>
              <w:t>5</w:t>
            </w:r>
          </w:p>
        </w:tc>
        <w:tc>
          <w:tcPr>
            <w:tcW w:w="1407" w:type="dxa"/>
            <w:tcBorders>
              <w:top w:val="single" w:sz="8" w:space="0" w:color="000000"/>
              <w:left w:val="single" w:sz="8" w:space="0" w:color="000000"/>
              <w:bottom w:val="single" w:sz="8" w:space="0" w:color="000000"/>
              <w:right w:val="single" w:sz="8" w:space="0" w:color="000000"/>
            </w:tcBorders>
            <w:vAlign w:val="center"/>
          </w:tcPr>
          <w:p w14:paraId="07F18A93" w14:textId="7E2C00C4" w:rsidR="00642FAC" w:rsidRPr="000848CD" w:rsidRDefault="00642FAC" w:rsidP="00E42413">
            <w:pPr>
              <w:pStyle w:val="Default"/>
              <w:jc w:val="center"/>
              <w:rPr>
                <w:sz w:val="18"/>
                <w:szCs w:val="18"/>
              </w:rPr>
            </w:pPr>
            <w:r w:rsidRPr="000848CD">
              <w:rPr>
                <w:sz w:val="18"/>
                <w:szCs w:val="18"/>
              </w:rPr>
              <w:t>20</w:t>
            </w:r>
          </w:p>
        </w:tc>
      </w:tr>
      <w:tr w:rsidR="00642FAC" w:rsidRPr="000848CD" w14:paraId="7A415272"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26CC746F" w14:textId="77777777" w:rsidR="00642FAC" w:rsidRPr="000848CD" w:rsidRDefault="00642FAC" w:rsidP="001A399A">
            <w:pPr>
              <w:pStyle w:val="Default"/>
              <w:jc w:val="both"/>
              <w:rPr>
                <w:sz w:val="18"/>
                <w:szCs w:val="18"/>
              </w:rPr>
            </w:pPr>
            <w:r w:rsidRPr="000848CD">
              <w:rPr>
                <w:sz w:val="18"/>
                <w:szCs w:val="18"/>
              </w:rPr>
              <w:t xml:space="preserve">1.2.4.2.3 </w:t>
            </w:r>
          </w:p>
        </w:tc>
        <w:tc>
          <w:tcPr>
            <w:tcW w:w="5195" w:type="dxa"/>
            <w:tcBorders>
              <w:top w:val="single" w:sz="8" w:space="0" w:color="000000"/>
              <w:left w:val="single" w:sz="8" w:space="0" w:color="000000"/>
              <w:bottom w:val="single" w:sz="8" w:space="0" w:color="000000"/>
              <w:right w:val="single" w:sz="8" w:space="0" w:color="000000"/>
            </w:tcBorders>
          </w:tcPr>
          <w:p w14:paraId="0C9B90A8" w14:textId="77777777" w:rsidR="00642FAC" w:rsidRPr="000848CD" w:rsidRDefault="00642FAC" w:rsidP="001A399A">
            <w:pPr>
              <w:pStyle w:val="Default"/>
              <w:jc w:val="both"/>
              <w:rPr>
                <w:sz w:val="18"/>
                <w:szCs w:val="18"/>
              </w:rPr>
            </w:pPr>
            <w:r w:rsidRPr="000848CD">
              <w:rPr>
                <w:sz w:val="18"/>
                <w:szCs w:val="18"/>
              </w:rPr>
              <w:t xml:space="preserve">Cámaras Fotográficas y de Video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470937B3" w14:textId="79264E78" w:rsidR="00642FAC" w:rsidRPr="000848CD" w:rsidRDefault="00642FAC" w:rsidP="00E42413">
            <w:pPr>
              <w:pStyle w:val="Default"/>
              <w:jc w:val="center"/>
              <w:rPr>
                <w:sz w:val="18"/>
                <w:szCs w:val="18"/>
              </w:rPr>
            </w:pPr>
            <w:r w:rsidRPr="000848CD">
              <w:rPr>
                <w:sz w:val="18"/>
                <w:szCs w:val="18"/>
              </w:rPr>
              <w:t>3</w:t>
            </w:r>
          </w:p>
        </w:tc>
        <w:tc>
          <w:tcPr>
            <w:tcW w:w="1407" w:type="dxa"/>
            <w:tcBorders>
              <w:top w:val="single" w:sz="8" w:space="0" w:color="000000"/>
              <w:left w:val="single" w:sz="8" w:space="0" w:color="000000"/>
              <w:bottom w:val="single" w:sz="8" w:space="0" w:color="000000"/>
              <w:right w:val="single" w:sz="8" w:space="0" w:color="000000"/>
            </w:tcBorders>
            <w:vAlign w:val="center"/>
          </w:tcPr>
          <w:p w14:paraId="47AAB07C" w14:textId="627CC2A5" w:rsidR="00642FAC" w:rsidRPr="000848CD" w:rsidRDefault="00642FAC" w:rsidP="00E42413">
            <w:pPr>
              <w:pStyle w:val="Default"/>
              <w:jc w:val="center"/>
              <w:rPr>
                <w:sz w:val="18"/>
                <w:szCs w:val="18"/>
              </w:rPr>
            </w:pPr>
            <w:r w:rsidRPr="000848CD">
              <w:rPr>
                <w:sz w:val="18"/>
                <w:szCs w:val="18"/>
              </w:rPr>
              <w:t>33.3</w:t>
            </w:r>
          </w:p>
        </w:tc>
      </w:tr>
      <w:tr w:rsidR="00642FAC" w:rsidRPr="000848CD" w14:paraId="3C8A1EB1"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3704D19B" w14:textId="77777777" w:rsidR="00642FAC" w:rsidRPr="000848CD" w:rsidRDefault="00642FAC" w:rsidP="001A399A">
            <w:pPr>
              <w:pStyle w:val="Default"/>
              <w:jc w:val="both"/>
              <w:rPr>
                <w:sz w:val="18"/>
                <w:szCs w:val="18"/>
              </w:rPr>
            </w:pPr>
            <w:r w:rsidRPr="000848CD">
              <w:rPr>
                <w:sz w:val="18"/>
                <w:szCs w:val="18"/>
              </w:rPr>
              <w:t xml:space="preserve">1.2.4.2.9 </w:t>
            </w:r>
          </w:p>
        </w:tc>
        <w:tc>
          <w:tcPr>
            <w:tcW w:w="5195" w:type="dxa"/>
            <w:tcBorders>
              <w:top w:val="single" w:sz="8" w:space="0" w:color="000000"/>
              <w:left w:val="single" w:sz="8" w:space="0" w:color="000000"/>
              <w:bottom w:val="single" w:sz="8" w:space="0" w:color="000000"/>
              <w:right w:val="single" w:sz="8" w:space="0" w:color="000000"/>
            </w:tcBorders>
          </w:tcPr>
          <w:p w14:paraId="4EE9FA41" w14:textId="77777777" w:rsidR="00642FAC" w:rsidRPr="000848CD" w:rsidRDefault="00642FAC" w:rsidP="001A399A">
            <w:pPr>
              <w:pStyle w:val="Default"/>
              <w:jc w:val="both"/>
              <w:rPr>
                <w:sz w:val="18"/>
                <w:szCs w:val="18"/>
              </w:rPr>
            </w:pPr>
            <w:r w:rsidRPr="000848CD">
              <w:rPr>
                <w:sz w:val="18"/>
                <w:szCs w:val="18"/>
              </w:rPr>
              <w:t xml:space="preserve">Otro Mobiliario y Equipo Educacional y Recreativo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01326C61" w14:textId="4D9D47C1" w:rsidR="00642FAC" w:rsidRPr="000848CD" w:rsidRDefault="00642FAC" w:rsidP="00E42413">
            <w:pPr>
              <w:pStyle w:val="Default"/>
              <w:jc w:val="center"/>
              <w:rPr>
                <w:sz w:val="18"/>
                <w:szCs w:val="18"/>
              </w:rPr>
            </w:pPr>
            <w:r w:rsidRPr="000848CD">
              <w:rPr>
                <w:sz w:val="18"/>
                <w:szCs w:val="18"/>
              </w:rPr>
              <w:t>5</w:t>
            </w:r>
          </w:p>
        </w:tc>
        <w:tc>
          <w:tcPr>
            <w:tcW w:w="1407" w:type="dxa"/>
            <w:tcBorders>
              <w:top w:val="single" w:sz="8" w:space="0" w:color="000000"/>
              <w:left w:val="single" w:sz="8" w:space="0" w:color="000000"/>
              <w:bottom w:val="single" w:sz="8" w:space="0" w:color="000000"/>
              <w:right w:val="single" w:sz="8" w:space="0" w:color="000000"/>
            </w:tcBorders>
            <w:vAlign w:val="center"/>
          </w:tcPr>
          <w:p w14:paraId="067473C6" w14:textId="25D6A230" w:rsidR="00642FAC" w:rsidRPr="000848CD" w:rsidRDefault="00642FAC" w:rsidP="00E42413">
            <w:pPr>
              <w:pStyle w:val="Default"/>
              <w:jc w:val="center"/>
              <w:rPr>
                <w:sz w:val="18"/>
                <w:szCs w:val="18"/>
              </w:rPr>
            </w:pPr>
            <w:r w:rsidRPr="000848CD">
              <w:rPr>
                <w:sz w:val="18"/>
                <w:szCs w:val="18"/>
              </w:rPr>
              <w:t>20</w:t>
            </w:r>
          </w:p>
        </w:tc>
      </w:tr>
      <w:tr w:rsidR="00642FAC" w:rsidRPr="000848CD" w14:paraId="3F39F44E" w14:textId="77777777" w:rsidTr="000848CD">
        <w:trPr>
          <w:gridAfter w:val="1"/>
          <w:wAfter w:w="12" w:type="dxa"/>
          <w:trHeight w:val="69"/>
          <w:jc w:val="center"/>
        </w:trPr>
        <w:tc>
          <w:tcPr>
            <w:tcW w:w="1288" w:type="dxa"/>
            <w:tcBorders>
              <w:top w:val="single" w:sz="8" w:space="0" w:color="000000"/>
              <w:left w:val="single" w:sz="8" w:space="0" w:color="000000"/>
              <w:bottom w:val="single" w:sz="8" w:space="0" w:color="000000"/>
              <w:right w:val="single" w:sz="8" w:space="0" w:color="000000"/>
            </w:tcBorders>
          </w:tcPr>
          <w:p w14:paraId="19C82E46" w14:textId="77777777" w:rsidR="00642FAC" w:rsidRPr="000848CD" w:rsidRDefault="00642FAC" w:rsidP="001A399A">
            <w:pPr>
              <w:pStyle w:val="Default"/>
              <w:jc w:val="both"/>
              <w:rPr>
                <w:sz w:val="18"/>
                <w:szCs w:val="18"/>
              </w:rPr>
            </w:pPr>
            <w:r w:rsidRPr="000848CD">
              <w:rPr>
                <w:b/>
                <w:bCs/>
                <w:sz w:val="18"/>
                <w:szCs w:val="18"/>
              </w:rPr>
              <w:t xml:space="preserve">1.2.4.3 </w:t>
            </w:r>
          </w:p>
        </w:tc>
        <w:tc>
          <w:tcPr>
            <w:tcW w:w="8190" w:type="dxa"/>
            <w:gridSpan w:val="4"/>
            <w:tcBorders>
              <w:top w:val="single" w:sz="8" w:space="0" w:color="000000"/>
              <w:left w:val="single" w:sz="8" w:space="0" w:color="000000"/>
              <w:bottom w:val="single" w:sz="8" w:space="0" w:color="000000"/>
              <w:right w:val="single" w:sz="8" w:space="0" w:color="000000"/>
            </w:tcBorders>
          </w:tcPr>
          <w:p w14:paraId="2FA3EFF9" w14:textId="77777777" w:rsidR="00642FAC" w:rsidRPr="000848CD" w:rsidRDefault="00642FAC" w:rsidP="001A399A">
            <w:pPr>
              <w:pStyle w:val="Default"/>
              <w:jc w:val="both"/>
              <w:rPr>
                <w:sz w:val="18"/>
                <w:szCs w:val="18"/>
              </w:rPr>
            </w:pPr>
            <w:r w:rsidRPr="000848CD">
              <w:rPr>
                <w:b/>
                <w:bCs/>
                <w:sz w:val="18"/>
                <w:szCs w:val="18"/>
              </w:rPr>
              <w:t xml:space="preserve">Equipo e Instrumental Médico y de Laboratorio </w:t>
            </w:r>
          </w:p>
        </w:tc>
      </w:tr>
      <w:tr w:rsidR="00642FAC" w:rsidRPr="000848CD" w14:paraId="01C7E798"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2D5E2DCD" w14:textId="77777777" w:rsidR="00642FAC" w:rsidRPr="000848CD" w:rsidRDefault="00642FAC" w:rsidP="001A399A">
            <w:pPr>
              <w:pStyle w:val="Default"/>
              <w:jc w:val="both"/>
              <w:rPr>
                <w:sz w:val="18"/>
                <w:szCs w:val="18"/>
              </w:rPr>
            </w:pPr>
            <w:r w:rsidRPr="000848CD">
              <w:rPr>
                <w:sz w:val="18"/>
                <w:szCs w:val="18"/>
              </w:rPr>
              <w:t xml:space="preserve">1.2.4.3.1 </w:t>
            </w:r>
          </w:p>
        </w:tc>
        <w:tc>
          <w:tcPr>
            <w:tcW w:w="5195" w:type="dxa"/>
            <w:tcBorders>
              <w:top w:val="single" w:sz="8" w:space="0" w:color="000000"/>
              <w:left w:val="single" w:sz="8" w:space="0" w:color="000000"/>
              <w:bottom w:val="single" w:sz="8" w:space="0" w:color="000000"/>
              <w:right w:val="single" w:sz="8" w:space="0" w:color="000000"/>
            </w:tcBorders>
          </w:tcPr>
          <w:p w14:paraId="110FE6AB" w14:textId="77777777" w:rsidR="00642FAC" w:rsidRPr="000848CD" w:rsidRDefault="00642FAC" w:rsidP="001A399A">
            <w:pPr>
              <w:pStyle w:val="Default"/>
              <w:jc w:val="both"/>
              <w:rPr>
                <w:sz w:val="18"/>
                <w:szCs w:val="18"/>
              </w:rPr>
            </w:pPr>
            <w:r w:rsidRPr="000848CD">
              <w:rPr>
                <w:sz w:val="18"/>
                <w:szCs w:val="18"/>
              </w:rPr>
              <w:t xml:space="preserve">Equipo Médico y de Laboratorio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2A10F5C1" w14:textId="3618D492" w:rsidR="00642FAC" w:rsidRPr="000848CD" w:rsidRDefault="00642FAC" w:rsidP="00E42413">
            <w:pPr>
              <w:pStyle w:val="Default"/>
              <w:jc w:val="center"/>
              <w:rPr>
                <w:sz w:val="18"/>
                <w:szCs w:val="18"/>
              </w:rPr>
            </w:pPr>
            <w:r w:rsidRPr="000848CD">
              <w:rPr>
                <w:sz w:val="18"/>
                <w:szCs w:val="18"/>
              </w:rPr>
              <w:t>5</w:t>
            </w:r>
          </w:p>
        </w:tc>
        <w:tc>
          <w:tcPr>
            <w:tcW w:w="1407" w:type="dxa"/>
            <w:tcBorders>
              <w:top w:val="single" w:sz="8" w:space="0" w:color="000000"/>
              <w:left w:val="single" w:sz="8" w:space="0" w:color="000000"/>
              <w:bottom w:val="single" w:sz="8" w:space="0" w:color="000000"/>
              <w:right w:val="single" w:sz="8" w:space="0" w:color="000000"/>
            </w:tcBorders>
            <w:vAlign w:val="center"/>
          </w:tcPr>
          <w:p w14:paraId="67B0B977" w14:textId="719FA34D" w:rsidR="00642FAC" w:rsidRPr="000848CD" w:rsidRDefault="00642FAC" w:rsidP="00E42413">
            <w:pPr>
              <w:pStyle w:val="Default"/>
              <w:jc w:val="center"/>
              <w:rPr>
                <w:sz w:val="18"/>
                <w:szCs w:val="18"/>
              </w:rPr>
            </w:pPr>
            <w:r w:rsidRPr="000848CD">
              <w:rPr>
                <w:sz w:val="18"/>
                <w:szCs w:val="18"/>
              </w:rPr>
              <w:t>20</w:t>
            </w:r>
          </w:p>
        </w:tc>
      </w:tr>
      <w:tr w:rsidR="00642FAC" w:rsidRPr="000848CD" w14:paraId="5CA100BE"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6D0C7221" w14:textId="77777777" w:rsidR="00642FAC" w:rsidRPr="000848CD" w:rsidRDefault="00642FAC" w:rsidP="001A399A">
            <w:pPr>
              <w:pStyle w:val="Default"/>
              <w:jc w:val="both"/>
              <w:rPr>
                <w:sz w:val="18"/>
                <w:szCs w:val="18"/>
              </w:rPr>
            </w:pPr>
            <w:r w:rsidRPr="000848CD">
              <w:rPr>
                <w:sz w:val="18"/>
                <w:szCs w:val="18"/>
              </w:rPr>
              <w:t xml:space="preserve">1.2.4.3.2 </w:t>
            </w:r>
          </w:p>
        </w:tc>
        <w:tc>
          <w:tcPr>
            <w:tcW w:w="5195" w:type="dxa"/>
            <w:tcBorders>
              <w:top w:val="single" w:sz="8" w:space="0" w:color="000000"/>
              <w:left w:val="single" w:sz="8" w:space="0" w:color="000000"/>
              <w:bottom w:val="single" w:sz="8" w:space="0" w:color="000000"/>
              <w:right w:val="single" w:sz="8" w:space="0" w:color="000000"/>
            </w:tcBorders>
          </w:tcPr>
          <w:p w14:paraId="118359E0" w14:textId="77777777" w:rsidR="00642FAC" w:rsidRPr="000848CD" w:rsidRDefault="00642FAC" w:rsidP="001A399A">
            <w:pPr>
              <w:pStyle w:val="Default"/>
              <w:jc w:val="both"/>
              <w:rPr>
                <w:sz w:val="18"/>
                <w:szCs w:val="18"/>
              </w:rPr>
            </w:pPr>
            <w:r w:rsidRPr="000848CD">
              <w:rPr>
                <w:sz w:val="18"/>
                <w:szCs w:val="18"/>
              </w:rPr>
              <w:t xml:space="preserve">Instrumental Médico y de Laboratorio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771B908E" w14:textId="1448BF01" w:rsidR="00642FAC" w:rsidRPr="000848CD" w:rsidRDefault="00642FAC" w:rsidP="00E42413">
            <w:pPr>
              <w:pStyle w:val="Default"/>
              <w:jc w:val="center"/>
              <w:rPr>
                <w:sz w:val="18"/>
                <w:szCs w:val="18"/>
              </w:rPr>
            </w:pPr>
            <w:r w:rsidRPr="000848CD">
              <w:rPr>
                <w:sz w:val="18"/>
                <w:szCs w:val="18"/>
              </w:rPr>
              <w:t>5</w:t>
            </w:r>
          </w:p>
        </w:tc>
        <w:tc>
          <w:tcPr>
            <w:tcW w:w="1407" w:type="dxa"/>
            <w:tcBorders>
              <w:top w:val="single" w:sz="8" w:space="0" w:color="000000"/>
              <w:left w:val="single" w:sz="8" w:space="0" w:color="000000"/>
              <w:bottom w:val="single" w:sz="8" w:space="0" w:color="000000"/>
              <w:right w:val="single" w:sz="8" w:space="0" w:color="000000"/>
            </w:tcBorders>
            <w:vAlign w:val="center"/>
          </w:tcPr>
          <w:p w14:paraId="7785A1E7" w14:textId="45D450EB" w:rsidR="00642FAC" w:rsidRPr="000848CD" w:rsidRDefault="00642FAC" w:rsidP="00E42413">
            <w:pPr>
              <w:pStyle w:val="Default"/>
              <w:jc w:val="center"/>
              <w:rPr>
                <w:sz w:val="18"/>
                <w:szCs w:val="18"/>
              </w:rPr>
            </w:pPr>
            <w:r w:rsidRPr="000848CD">
              <w:rPr>
                <w:sz w:val="18"/>
                <w:szCs w:val="18"/>
              </w:rPr>
              <w:t>20</w:t>
            </w:r>
          </w:p>
        </w:tc>
      </w:tr>
      <w:tr w:rsidR="00642FAC" w:rsidRPr="000848CD" w14:paraId="36681DB9" w14:textId="77777777" w:rsidTr="000848CD">
        <w:trPr>
          <w:gridAfter w:val="1"/>
          <w:wAfter w:w="12" w:type="dxa"/>
          <w:trHeight w:val="69"/>
          <w:jc w:val="center"/>
        </w:trPr>
        <w:tc>
          <w:tcPr>
            <w:tcW w:w="1288" w:type="dxa"/>
            <w:tcBorders>
              <w:top w:val="single" w:sz="8" w:space="0" w:color="000000"/>
              <w:left w:val="single" w:sz="8" w:space="0" w:color="000000"/>
              <w:bottom w:val="single" w:sz="8" w:space="0" w:color="000000"/>
              <w:right w:val="single" w:sz="8" w:space="0" w:color="000000"/>
            </w:tcBorders>
          </w:tcPr>
          <w:p w14:paraId="27A67388" w14:textId="77777777" w:rsidR="00642FAC" w:rsidRPr="000848CD" w:rsidRDefault="00642FAC" w:rsidP="001A399A">
            <w:pPr>
              <w:pStyle w:val="Default"/>
              <w:jc w:val="both"/>
              <w:rPr>
                <w:sz w:val="18"/>
                <w:szCs w:val="18"/>
              </w:rPr>
            </w:pPr>
            <w:r w:rsidRPr="000848CD">
              <w:rPr>
                <w:b/>
                <w:bCs/>
                <w:sz w:val="18"/>
                <w:szCs w:val="18"/>
              </w:rPr>
              <w:t xml:space="preserve">1.2.4.4 </w:t>
            </w:r>
          </w:p>
        </w:tc>
        <w:tc>
          <w:tcPr>
            <w:tcW w:w="8190" w:type="dxa"/>
            <w:gridSpan w:val="4"/>
            <w:tcBorders>
              <w:top w:val="single" w:sz="8" w:space="0" w:color="000000"/>
              <w:left w:val="single" w:sz="8" w:space="0" w:color="000000"/>
              <w:bottom w:val="single" w:sz="8" w:space="0" w:color="000000"/>
              <w:right w:val="single" w:sz="8" w:space="0" w:color="000000"/>
            </w:tcBorders>
          </w:tcPr>
          <w:p w14:paraId="37AB0192" w14:textId="77777777" w:rsidR="00642FAC" w:rsidRPr="000848CD" w:rsidRDefault="00642FAC" w:rsidP="001A399A">
            <w:pPr>
              <w:pStyle w:val="Default"/>
              <w:jc w:val="both"/>
              <w:rPr>
                <w:sz w:val="18"/>
                <w:szCs w:val="18"/>
              </w:rPr>
            </w:pPr>
            <w:r w:rsidRPr="000848CD">
              <w:rPr>
                <w:b/>
                <w:bCs/>
                <w:sz w:val="18"/>
                <w:szCs w:val="18"/>
              </w:rPr>
              <w:t xml:space="preserve">Equipo de Transporte </w:t>
            </w:r>
          </w:p>
        </w:tc>
      </w:tr>
      <w:tr w:rsidR="00642FAC" w:rsidRPr="000848CD" w14:paraId="1859AF16" w14:textId="77777777" w:rsidTr="000848CD">
        <w:trPr>
          <w:gridAfter w:val="1"/>
          <w:wAfter w:w="13" w:type="dxa"/>
          <w:trHeight w:val="66"/>
          <w:jc w:val="center"/>
        </w:trPr>
        <w:tc>
          <w:tcPr>
            <w:tcW w:w="1288" w:type="dxa"/>
            <w:tcBorders>
              <w:top w:val="single" w:sz="8" w:space="0" w:color="000000"/>
              <w:left w:val="single" w:sz="8" w:space="0" w:color="000000"/>
              <w:bottom w:val="single" w:sz="8" w:space="0" w:color="000000"/>
              <w:right w:val="single" w:sz="8" w:space="0" w:color="000000"/>
            </w:tcBorders>
          </w:tcPr>
          <w:p w14:paraId="53491A52" w14:textId="77777777" w:rsidR="00642FAC" w:rsidRPr="000848CD" w:rsidRDefault="00642FAC" w:rsidP="001A399A">
            <w:pPr>
              <w:pStyle w:val="Default"/>
              <w:jc w:val="both"/>
              <w:rPr>
                <w:sz w:val="18"/>
                <w:szCs w:val="18"/>
              </w:rPr>
            </w:pPr>
            <w:r w:rsidRPr="000848CD">
              <w:rPr>
                <w:sz w:val="18"/>
                <w:szCs w:val="18"/>
              </w:rPr>
              <w:t xml:space="preserve">1.2.4.4.1 </w:t>
            </w:r>
          </w:p>
        </w:tc>
        <w:tc>
          <w:tcPr>
            <w:tcW w:w="5195" w:type="dxa"/>
            <w:tcBorders>
              <w:top w:val="single" w:sz="8" w:space="0" w:color="000000"/>
              <w:left w:val="single" w:sz="8" w:space="0" w:color="000000"/>
              <w:bottom w:val="single" w:sz="8" w:space="0" w:color="000000"/>
              <w:right w:val="single" w:sz="8" w:space="0" w:color="000000"/>
            </w:tcBorders>
          </w:tcPr>
          <w:p w14:paraId="3683AD02" w14:textId="77777777" w:rsidR="00642FAC" w:rsidRPr="000848CD" w:rsidRDefault="00642FAC" w:rsidP="001A399A">
            <w:pPr>
              <w:pStyle w:val="Default"/>
              <w:jc w:val="both"/>
              <w:rPr>
                <w:sz w:val="18"/>
                <w:szCs w:val="18"/>
              </w:rPr>
            </w:pPr>
            <w:r w:rsidRPr="000848CD">
              <w:rPr>
                <w:sz w:val="18"/>
                <w:szCs w:val="18"/>
              </w:rPr>
              <w:t xml:space="preserve">Automóviles y Equipo Terrestre </w:t>
            </w:r>
          </w:p>
        </w:tc>
        <w:tc>
          <w:tcPr>
            <w:tcW w:w="1587" w:type="dxa"/>
            <w:gridSpan w:val="2"/>
            <w:tcBorders>
              <w:top w:val="single" w:sz="8" w:space="0" w:color="000000"/>
              <w:left w:val="single" w:sz="8" w:space="0" w:color="000000"/>
              <w:bottom w:val="single" w:sz="8" w:space="0" w:color="000000"/>
              <w:right w:val="single" w:sz="8" w:space="0" w:color="000000"/>
            </w:tcBorders>
            <w:vAlign w:val="center"/>
          </w:tcPr>
          <w:p w14:paraId="7490EACF" w14:textId="7D31331D" w:rsidR="00642FAC" w:rsidRPr="000848CD" w:rsidRDefault="00642FAC" w:rsidP="00E42413">
            <w:pPr>
              <w:pStyle w:val="Default"/>
              <w:jc w:val="center"/>
              <w:rPr>
                <w:sz w:val="18"/>
                <w:szCs w:val="18"/>
              </w:rPr>
            </w:pPr>
            <w:r w:rsidRPr="000848CD">
              <w:rPr>
                <w:sz w:val="18"/>
                <w:szCs w:val="18"/>
              </w:rPr>
              <w:t>5</w:t>
            </w:r>
          </w:p>
        </w:tc>
        <w:tc>
          <w:tcPr>
            <w:tcW w:w="1407" w:type="dxa"/>
            <w:tcBorders>
              <w:top w:val="single" w:sz="8" w:space="0" w:color="000000"/>
              <w:left w:val="single" w:sz="8" w:space="0" w:color="000000"/>
              <w:bottom w:val="single" w:sz="8" w:space="0" w:color="000000"/>
              <w:right w:val="single" w:sz="8" w:space="0" w:color="000000"/>
            </w:tcBorders>
            <w:vAlign w:val="center"/>
          </w:tcPr>
          <w:p w14:paraId="768CF32B" w14:textId="6382E761" w:rsidR="00642FAC" w:rsidRPr="000848CD" w:rsidRDefault="00642FAC" w:rsidP="00E42413">
            <w:pPr>
              <w:pStyle w:val="Default"/>
              <w:jc w:val="center"/>
              <w:rPr>
                <w:sz w:val="18"/>
                <w:szCs w:val="18"/>
              </w:rPr>
            </w:pPr>
            <w:r w:rsidRPr="000848CD">
              <w:rPr>
                <w:sz w:val="18"/>
                <w:szCs w:val="18"/>
              </w:rPr>
              <w:t>20</w:t>
            </w:r>
          </w:p>
        </w:tc>
      </w:tr>
    </w:tbl>
    <w:p w14:paraId="439E9936"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6688BA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Cambios en el porcentaje de depreciación y amortización: No aplica</w:t>
      </w:r>
    </w:p>
    <w:p w14:paraId="63C15F4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6FA91457"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0C700A32" w14:textId="05AD97E6"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c)</w:t>
      </w:r>
      <w:r w:rsidRPr="001A399A">
        <w:rPr>
          <w:rFonts w:ascii="Arial" w:hAnsi="Arial" w:cs="Arial"/>
          <w:sz w:val="20"/>
          <w:szCs w:val="20"/>
        </w:rPr>
        <w:t xml:space="preserve"> Importe de los gastos capitalizados en el ejercicio, tanto financieros como de investigación y desarrollo: No aplica</w:t>
      </w:r>
    </w:p>
    <w:p w14:paraId="4143E1E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97F3259"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643D33AD" w14:textId="447E39E0"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Riesgos por tipo de cambio o tipo de interés de las inversiones financieras: No aplica</w:t>
      </w:r>
    </w:p>
    <w:p w14:paraId="1AF463D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0068C99"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2CA80455" w14:textId="5FBB505B"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 xml:space="preserve">e) </w:t>
      </w:r>
      <w:r w:rsidRPr="001A399A">
        <w:rPr>
          <w:rFonts w:ascii="Arial" w:hAnsi="Arial" w:cs="Arial"/>
          <w:sz w:val="20"/>
          <w:szCs w:val="20"/>
        </w:rPr>
        <w:t>Valor activado en el ejercicio de los bienes construidos por la entidad: No aplica en el periodo</w:t>
      </w:r>
    </w:p>
    <w:p w14:paraId="44BAEBB3" w14:textId="77777777" w:rsidR="00642FAC" w:rsidRPr="001A399A" w:rsidRDefault="00642FAC" w:rsidP="001A399A">
      <w:pPr>
        <w:tabs>
          <w:tab w:val="left" w:leader="underscore" w:pos="9639"/>
        </w:tabs>
        <w:spacing w:after="0" w:line="240" w:lineRule="auto"/>
        <w:jc w:val="both"/>
        <w:rPr>
          <w:rFonts w:ascii="Arial" w:hAnsi="Arial" w:cs="Arial"/>
          <w:b/>
          <w:sz w:val="20"/>
          <w:szCs w:val="20"/>
        </w:rPr>
      </w:pPr>
    </w:p>
    <w:p w14:paraId="29F27B96"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457F53E6" w14:textId="19C80848" w:rsidR="000848CD"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f)</w:t>
      </w:r>
      <w:r w:rsidRPr="001A399A">
        <w:rPr>
          <w:rFonts w:ascii="Arial" w:hAnsi="Arial" w:cs="Arial"/>
          <w:sz w:val="20"/>
          <w:szCs w:val="20"/>
        </w:rPr>
        <w:t xml:space="preserve"> Otras circunstancias de carácter significativo que afecten el activo, tales como bienes en garantía, señalados </w:t>
      </w:r>
    </w:p>
    <w:p w14:paraId="51F0FC0E" w14:textId="064CA5BF"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en embargos, litigios, títulos de inversiones entregados en garantías, baja significativa del valor de inversiones financieras, etc.:  No aplica</w:t>
      </w:r>
    </w:p>
    <w:p w14:paraId="2502909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6EA42508"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6E727D3F" w14:textId="567C03A1"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g)</w:t>
      </w:r>
      <w:r w:rsidRPr="001A399A">
        <w:rPr>
          <w:rFonts w:ascii="Arial" w:hAnsi="Arial" w:cs="Arial"/>
          <w:sz w:val="20"/>
          <w:szCs w:val="20"/>
        </w:rPr>
        <w:t xml:space="preserve"> Desmantelamiento de Activos, procedimientos, implicaciones, efectos contables: No aplica</w:t>
      </w:r>
    </w:p>
    <w:p w14:paraId="393BCC2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173F526" w14:textId="77777777" w:rsidR="000848CD" w:rsidRDefault="000848CD" w:rsidP="001A399A">
      <w:pPr>
        <w:tabs>
          <w:tab w:val="left" w:leader="underscore" w:pos="9639"/>
        </w:tabs>
        <w:spacing w:after="0" w:line="240" w:lineRule="auto"/>
        <w:jc w:val="both"/>
        <w:rPr>
          <w:rFonts w:ascii="Arial" w:hAnsi="Arial" w:cs="Arial"/>
          <w:b/>
          <w:sz w:val="20"/>
          <w:szCs w:val="20"/>
        </w:rPr>
      </w:pPr>
    </w:p>
    <w:p w14:paraId="4613CE28" w14:textId="2A2D932D"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h)</w:t>
      </w:r>
      <w:r w:rsidRPr="001A399A">
        <w:rPr>
          <w:rFonts w:ascii="Arial" w:hAnsi="Arial" w:cs="Arial"/>
          <w:sz w:val="20"/>
          <w:szCs w:val="20"/>
        </w:rPr>
        <w:t xml:space="preserve"> Administración de activos; planeación con el objetivo de que el ente los utilice de manera más efectiva: No aplica</w:t>
      </w:r>
    </w:p>
    <w:p w14:paraId="00D8B42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14839A3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Adicionalmente, se deben incluir las explicaciones de las principales variaciones en el activo, en cuadros comparativos como sigue:</w:t>
      </w:r>
    </w:p>
    <w:p w14:paraId="17C0720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4CE4069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Inversiones en valores: No aplica</w:t>
      </w:r>
    </w:p>
    <w:p w14:paraId="62DCE6D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4F8FC4E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Patrimonio de Organismos Descentralizados de Control Presupuestario Indirecto: No aplica</w:t>
      </w:r>
    </w:p>
    <w:p w14:paraId="5982B29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60ABD7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c)</w:t>
      </w:r>
      <w:r w:rsidRPr="001A399A">
        <w:rPr>
          <w:rFonts w:ascii="Arial" w:hAnsi="Arial" w:cs="Arial"/>
          <w:sz w:val="20"/>
          <w:szCs w:val="20"/>
        </w:rPr>
        <w:t xml:space="preserve"> Inversiones en empresas de participación mayoritaria:</w:t>
      </w:r>
    </w:p>
    <w:p w14:paraId="6513AAA3"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E862DB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476"/>
        <w:gridCol w:w="1197"/>
        <w:gridCol w:w="2094"/>
        <w:gridCol w:w="2394"/>
      </w:tblGrid>
      <w:tr w:rsidR="00642FAC" w:rsidRPr="000848CD" w14:paraId="252E5625" w14:textId="77777777" w:rsidTr="000848CD">
        <w:trPr>
          <w:trHeight w:val="361"/>
          <w:jc w:val="center"/>
        </w:trPr>
        <w:tc>
          <w:tcPr>
            <w:tcW w:w="1413" w:type="dxa"/>
            <w:vAlign w:val="center"/>
            <w:hideMark/>
          </w:tcPr>
          <w:p w14:paraId="3C93D085"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CUENTA</w:t>
            </w:r>
          </w:p>
        </w:tc>
        <w:tc>
          <w:tcPr>
            <w:tcW w:w="2476" w:type="dxa"/>
            <w:noWrap/>
            <w:vAlign w:val="center"/>
            <w:hideMark/>
          </w:tcPr>
          <w:p w14:paraId="0DB34367"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NOMBRE DE LA CUENTA</w:t>
            </w:r>
          </w:p>
        </w:tc>
        <w:tc>
          <w:tcPr>
            <w:tcW w:w="1197" w:type="dxa"/>
            <w:vAlign w:val="center"/>
            <w:hideMark/>
          </w:tcPr>
          <w:p w14:paraId="312D8C07"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MONTO</w:t>
            </w:r>
          </w:p>
        </w:tc>
        <w:tc>
          <w:tcPr>
            <w:tcW w:w="2094" w:type="dxa"/>
            <w:vAlign w:val="center"/>
            <w:hideMark/>
          </w:tcPr>
          <w:p w14:paraId="3B61B891"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TIPO</w:t>
            </w:r>
          </w:p>
        </w:tc>
        <w:tc>
          <w:tcPr>
            <w:tcW w:w="2394" w:type="dxa"/>
            <w:vAlign w:val="center"/>
            <w:hideMark/>
          </w:tcPr>
          <w:p w14:paraId="2EF26C37" w14:textId="70E98EF5"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EMPRESA/OPDes</w:t>
            </w:r>
          </w:p>
        </w:tc>
      </w:tr>
      <w:tr w:rsidR="00642FAC" w:rsidRPr="000848CD" w14:paraId="3D111C9E" w14:textId="77777777" w:rsidTr="000848CD">
        <w:trPr>
          <w:trHeight w:val="541"/>
          <w:jc w:val="center"/>
        </w:trPr>
        <w:tc>
          <w:tcPr>
            <w:tcW w:w="1413" w:type="dxa"/>
            <w:vAlign w:val="center"/>
            <w:hideMark/>
          </w:tcPr>
          <w:p w14:paraId="7DAB8CF3"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1214300001</w:t>
            </w:r>
          </w:p>
        </w:tc>
        <w:tc>
          <w:tcPr>
            <w:tcW w:w="2476" w:type="dxa"/>
            <w:vAlign w:val="center"/>
            <w:hideMark/>
          </w:tcPr>
          <w:p w14:paraId="394B395E" w14:textId="2E363705"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CAPITAL</w:t>
            </w:r>
            <w:r w:rsidR="000848CD">
              <w:rPr>
                <w:rFonts w:ascii="Arial" w:hAnsi="Arial" w:cs="Arial"/>
                <w:color w:val="000000"/>
                <w:sz w:val="18"/>
                <w:szCs w:val="18"/>
                <w:lang w:eastAsia="es-MX"/>
              </w:rPr>
              <w:t xml:space="preserve"> </w:t>
            </w:r>
            <w:r w:rsidRPr="000848CD">
              <w:rPr>
                <w:rFonts w:ascii="Arial" w:hAnsi="Arial" w:cs="Arial"/>
                <w:color w:val="000000"/>
                <w:sz w:val="18"/>
                <w:szCs w:val="18"/>
                <w:lang w:eastAsia="es-MX"/>
              </w:rPr>
              <w:t>CONTABLE GUALDRA</w:t>
            </w:r>
          </w:p>
        </w:tc>
        <w:tc>
          <w:tcPr>
            <w:tcW w:w="1197" w:type="dxa"/>
            <w:vAlign w:val="center"/>
            <w:hideMark/>
          </w:tcPr>
          <w:p w14:paraId="15E4A4FE" w14:textId="77777777" w:rsidR="00642FAC" w:rsidRPr="000848CD" w:rsidRDefault="00642FAC" w:rsidP="000848CD">
            <w:pPr>
              <w:spacing w:after="0" w:line="240" w:lineRule="auto"/>
              <w:jc w:val="right"/>
              <w:rPr>
                <w:rFonts w:ascii="Arial" w:hAnsi="Arial" w:cs="Arial"/>
                <w:sz w:val="18"/>
                <w:szCs w:val="18"/>
                <w:lang w:eastAsia="es-MX"/>
              </w:rPr>
            </w:pPr>
            <w:r w:rsidRPr="000848CD">
              <w:rPr>
                <w:rFonts w:ascii="Arial" w:hAnsi="Arial" w:cs="Arial"/>
                <w:sz w:val="18"/>
                <w:szCs w:val="18"/>
                <w:lang w:eastAsia="es-MX"/>
              </w:rPr>
              <w:t>44,354,622</w:t>
            </w:r>
          </w:p>
        </w:tc>
        <w:tc>
          <w:tcPr>
            <w:tcW w:w="2094" w:type="dxa"/>
            <w:vAlign w:val="center"/>
            <w:hideMark/>
          </w:tcPr>
          <w:p w14:paraId="7F9A4F94"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SOCIO MAYORITARIO</w:t>
            </w:r>
          </w:p>
        </w:tc>
        <w:tc>
          <w:tcPr>
            <w:tcW w:w="2394" w:type="dxa"/>
            <w:vAlign w:val="center"/>
            <w:hideMark/>
          </w:tcPr>
          <w:p w14:paraId="5DEBE084"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GUALDRA, SA DE CV</w:t>
            </w:r>
          </w:p>
        </w:tc>
      </w:tr>
    </w:tbl>
    <w:p w14:paraId="5483AC1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A6EE91E" w14:textId="77777777" w:rsidR="00642FAC" w:rsidRPr="001A399A" w:rsidRDefault="00642FAC" w:rsidP="001A399A">
      <w:pPr>
        <w:spacing w:after="0" w:line="240" w:lineRule="auto"/>
        <w:jc w:val="both"/>
        <w:rPr>
          <w:rFonts w:ascii="Arial" w:hAnsi="Arial" w:cs="Arial"/>
          <w:sz w:val="20"/>
          <w:szCs w:val="20"/>
        </w:rPr>
      </w:pPr>
    </w:p>
    <w:p w14:paraId="6BF20527"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 xml:space="preserve">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w:t>
      </w:r>
      <w:r w:rsidRPr="001A399A">
        <w:rPr>
          <w:rFonts w:ascii="Arial" w:hAnsi="Arial" w:cs="Arial"/>
          <w:sz w:val="20"/>
          <w:szCs w:val="20"/>
        </w:rPr>
        <w:lastRenderedPageBreak/>
        <w:t>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EBCA087" w14:textId="77777777" w:rsidR="00642FAC" w:rsidRPr="001A399A" w:rsidRDefault="00642FAC" w:rsidP="001A399A">
      <w:pPr>
        <w:spacing w:after="0" w:line="240" w:lineRule="auto"/>
        <w:jc w:val="both"/>
        <w:rPr>
          <w:rFonts w:ascii="Arial" w:hAnsi="Arial" w:cs="Arial"/>
          <w:sz w:val="20"/>
          <w:szCs w:val="20"/>
        </w:rPr>
      </w:pPr>
    </w:p>
    <w:p w14:paraId="65674284"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6FBC3C" w14:textId="77777777" w:rsidR="00642FAC" w:rsidRPr="001A399A" w:rsidRDefault="00642FAC" w:rsidP="001A399A">
      <w:pPr>
        <w:tabs>
          <w:tab w:val="left" w:leader="underscore" w:pos="9639"/>
        </w:tabs>
        <w:spacing w:after="0" w:line="240" w:lineRule="auto"/>
        <w:jc w:val="both"/>
        <w:rPr>
          <w:rFonts w:ascii="Arial" w:hAnsi="Arial" w:cs="Arial"/>
          <w:b/>
          <w:sz w:val="20"/>
          <w:szCs w:val="20"/>
        </w:rPr>
      </w:pPr>
    </w:p>
    <w:p w14:paraId="6A95346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d)</w:t>
      </w:r>
      <w:r w:rsidRPr="001A399A">
        <w:rPr>
          <w:rFonts w:ascii="Arial" w:hAnsi="Arial" w:cs="Arial"/>
          <w:sz w:val="20"/>
          <w:szCs w:val="20"/>
        </w:rPr>
        <w:t xml:space="preserve"> Inversiones en empresas de participación minoritaria:</w:t>
      </w:r>
    </w:p>
    <w:p w14:paraId="7908D8E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2993"/>
        <w:gridCol w:w="1002"/>
        <w:gridCol w:w="1868"/>
        <w:gridCol w:w="2613"/>
      </w:tblGrid>
      <w:tr w:rsidR="000848CD" w:rsidRPr="000848CD" w14:paraId="3F039AB5" w14:textId="77777777" w:rsidTr="000848CD">
        <w:trPr>
          <w:trHeight w:val="327"/>
          <w:jc w:val="center"/>
        </w:trPr>
        <w:tc>
          <w:tcPr>
            <w:tcW w:w="1220" w:type="dxa"/>
            <w:vAlign w:val="center"/>
            <w:hideMark/>
          </w:tcPr>
          <w:p w14:paraId="6376865C"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CUENTA</w:t>
            </w:r>
          </w:p>
        </w:tc>
        <w:tc>
          <w:tcPr>
            <w:tcW w:w="2993" w:type="dxa"/>
            <w:noWrap/>
            <w:vAlign w:val="center"/>
            <w:hideMark/>
          </w:tcPr>
          <w:p w14:paraId="550D7347"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NOMBRE DE LA CUENTA</w:t>
            </w:r>
          </w:p>
        </w:tc>
        <w:tc>
          <w:tcPr>
            <w:tcW w:w="1002" w:type="dxa"/>
            <w:vAlign w:val="center"/>
            <w:hideMark/>
          </w:tcPr>
          <w:p w14:paraId="000C4E4D"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MONTO</w:t>
            </w:r>
          </w:p>
        </w:tc>
        <w:tc>
          <w:tcPr>
            <w:tcW w:w="1868" w:type="dxa"/>
            <w:vAlign w:val="center"/>
            <w:hideMark/>
          </w:tcPr>
          <w:p w14:paraId="73249BD6" w14:textId="77777777"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TIPO</w:t>
            </w:r>
          </w:p>
        </w:tc>
        <w:tc>
          <w:tcPr>
            <w:tcW w:w="2613" w:type="dxa"/>
            <w:vAlign w:val="center"/>
            <w:hideMark/>
          </w:tcPr>
          <w:p w14:paraId="5E7B65F7" w14:textId="4B1E4C88" w:rsidR="00642FAC" w:rsidRPr="000848CD" w:rsidRDefault="00642FAC" w:rsidP="000848CD">
            <w:pPr>
              <w:spacing w:after="0" w:line="240" w:lineRule="auto"/>
              <w:jc w:val="center"/>
              <w:rPr>
                <w:rFonts w:ascii="Arial" w:hAnsi="Arial" w:cs="Arial"/>
                <w:b/>
                <w:bCs/>
                <w:color w:val="000000"/>
                <w:sz w:val="18"/>
                <w:szCs w:val="18"/>
                <w:lang w:eastAsia="es-MX"/>
              </w:rPr>
            </w:pPr>
            <w:r w:rsidRPr="000848CD">
              <w:rPr>
                <w:rFonts w:ascii="Arial" w:hAnsi="Arial" w:cs="Arial"/>
                <w:b/>
                <w:bCs/>
                <w:color w:val="000000"/>
                <w:sz w:val="18"/>
                <w:szCs w:val="18"/>
                <w:lang w:eastAsia="es-MX"/>
              </w:rPr>
              <w:t>EMPRESA/OPDes</w:t>
            </w:r>
          </w:p>
        </w:tc>
      </w:tr>
      <w:tr w:rsidR="000848CD" w:rsidRPr="000848CD" w14:paraId="608B0174" w14:textId="77777777" w:rsidTr="000848CD">
        <w:trPr>
          <w:trHeight w:val="669"/>
          <w:jc w:val="center"/>
        </w:trPr>
        <w:tc>
          <w:tcPr>
            <w:tcW w:w="1220" w:type="dxa"/>
            <w:vAlign w:val="center"/>
            <w:hideMark/>
          </w:tcPr>
          <w:p w14:paraId="0852F3C4"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1214300002</w:t>
            </w:r>
          </w:p>
        </w:tc>
        <w:tc>
          <w:tcPr>
            <w:tcW w:w="2993" w:type="dxa"/>
            <w:vAlign w:val="center"/>
            <w:hideMark/>
          </w:tcPr>
          <w:p w14:paraId="715E49CB" w14:textId="77777777" w:rsidR="00642FAC" w:rsidRPr="000848CD" w:rsidRDefault="00642FAC" w:rsidP="000848CD">
            <w:pPr>
              <w:spacing w:after="0" w:line="240" w:lineRule="auto"/>
              <w:rPr>
                <w:rFonts w:ascii="Arial" w:hAnsi="Arial" w:cs="Arial"/>
                <w:color w:val="000000"/>
                <w:sz w:val="18"/>
                <w:szCs w:val="18"/>
                <w:lang w:eastAsia="es-MX"/>
              </w:rPr>
            </w:pPr>
            <w:r w:rsidRPr="000848CD">
              <w:rPr>
                <w:rFonts w:ascii="Arial" w:hAnsi="Arial" w:cs="Arial"/>
                <w:color w:val="000000"/>
                <w:sz w:val="18"/>
                <w:szCs w:val="18"/>
                <w:lang w:eastAsia="es-MX"/>
              </w:rPr>
              <w:t>CAPITAL CONTABLE ESTACIONAMIENTO LAS HUERTAS</w:t>
            </w:r>
          </w:p>
        </w:tc>
        <w:tc>
          <w:tcPr>
            <w:tcW w:w="1002" w:type="dxa"/>
            <w:vAlign w:val="center"/>
            <w:hideMark/>
          </w:tcPr>
          <w:p w14:paraId="4941D54D" w14:textId="77777777" w:rsidR="00642FAC" w:rsidRPr="000848CD" w:rsidRDefault="00642FAC" w:rsidP="000848CD">
            <w:pPr>
              <w:spacing w:after="0" w:line="240" w:lineRule="auto"/>
              <w:jc w:val="right"/>
              <w:rPr>
                <w:rFonts w:ascii="Arial" w:hAnsi="Arial" w:cs="Arial"/>
                <w:sz w:val="18"/>
                <w:szCs w:val="18"/>
                <w:lang w:eastAsia="es-MX"/>
              </w:rPr>
            </w:pPr>
            <w:r w:rsidRPr="000848CD">
              <w:rPr>
                <w:rFonts w:ascii="Arial" w:hAnsi="Arial" w:cs="Arial"/>
                <w:sz w:val="18"/>
                <w:szCs w:val="18"/>
                <w:lang w:eastAsia="es-MX"/>
              </w:rPr>
              <w:t>27,306</w:t>
            </w:r>
          </w:p>
        </w:tc>
        <w:tc>
          <w:tcPr>
            <w:tcW w:w="1868" w:type="dxa"/>
            <w:vAlign w:val="center"/>
            <w:hideMark/>
          </w:tcPr>
          <w:p w14:paraId="7DA0BBD1"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SOCIO MINORITARIO</w:t>
            </w:r>
          </w:p>
        </w:tc>
        <w:tc>
          <w:tcPr>
            <w:tcW w:w="2613" w:type="dxa"/>
            <w:vAlign w:val="center"/>
            <w:hideMark/>
          </w:tcPr>
          <w:p w14:paraId="1A5240C2"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 xml:space="preserve">ESTACIONAMIENTO LAS HUERTAS SA DE CV </w:t>
            </w:r>
          </w:p>
        </w:tc>
      </w:tr>
      <w:tr w:rsidR="000848CD" w:rsidRPr="000848CD" w14:paraId="3D23D3F5" w14:textId="77777777" w:rsidTr="000848CD">
        <w:trPr>
          <w:trHeight w:val="669"/>
          <w:jc w:val="center"/>
        </w:trPr>
        <w:tc>
          <w:tcPr>
            <w:tcW w:w="1220" w:type="dxa"/>
            <w:vAlign w:val="center"/>
          </w:tcPr>
          <w:p w14:paraId="4FC3BB12"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1214300003</w:t>
            </w:r>
          </w:p>
        </w:tc>
        <w:tc>
          <w:tcPr>
            <w:tcW w:w="2993" w:type="dxa"/>
            <w:vAlign w:val="center"/>
          </w:tcPr>
          <w:p w14:paraId="22EC8C04" w14:textId="77777777" w:rsidR="00642FAC" w:rsidRPr="000848CD" w:rsidRDefault="00642FAC" w:rsidP="000848CD">
            <w:pPr>
              <w:spacing w:after="0" w:line="240" w:lineRule="auto"/>
              <w:rPr>
                <w:rFonts w:ascii="Arial" w:hAnsi="Arial" w:cs="Arial"/>
                <w:color w:val="000000"/>
                <w:sz w:val="18"/>
                <w:szCs w:val="18"/>
                <w:lang w:eastAsia="es-MX"/>
              </w:rPr>
            </w:pPr>
            <w:r w:rsidRPr="000848CD">
              <w:rPr>
                <w:rFonts w:ascii="Arial" w:hAnsi="Arial" w:cs="Arial"/>
                <w:color w:val="000000"/>
                <w:sz w:val="18"/>
                <w:szCs w:val="18"/>
                <w:lang w:eastAsia="es-MX"/>
              </w:rPr>
              <w:t>CAPITAL CONTABLE INLEMEX, SA DE CV</w:t>
            </w:r>
          </w:p>
        </w:tc>
        <w:tc>
          <w:tcPr>
            <w:tcW w:w="1002" w:type="dxa"/>
            <w:vAlign w:val="center"/>
          </w:tcPr>
          <w:p w14:paraId="67C42D33" w14:textId="77777777" w:rsidR="00642FAC" w:rsidRPr="000848CD" w:rsidRDefault="00642FAC" w:rsidP="000848CD">
            <w:pPr>
              <w:spacing w:after="0" w:line="240" w:lineRule="auto"/>
              <w:jc w:val="right"/>
              <w:rPr>
                <w:rFonts w:ascii="Arial" w:hAnsi="Arial" w:cs="Arial"/>
                <w:sz w:val="18"/>
                <w:szCs w:val="18"/>
                <w:lang w:eastAsia="es-MX"/>
              </w:rPr>
            </w:pPr>
            <w:r w:rsidRPr="000848CD">
              <w:rPr>
                <w:rFonts w:ascii="Arial" w:hAnsi="Arial" w:cs="Arial"/>
                <w:sz w:val="18"/>
                <w:szCs w:val="18"/>
                <w:lang w:eastAsia="es-MX"/>
              </w:rPr>
              <w:t>1,352,000</w:t>
            </w:r>
          </w:p>
        </w:tc>
        <w:tc>
          <w:tcPr>
            <w:tcW w:w="1868" w:type="dxa"/>
            <w:vAlign w:val="center"/>
          </w:tcPr>
          <w:p w14:paraId="6C06DCC2"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SOCIO MINORITARIO</w:t>
            </w:r>
          </w:p>
        </w:tc>
        <w:tc>
          <w:tcPr>
            <w:tcW w:w="2613" w:type="dxa"/>
            <w:vAlign w:val="center"/>
          </w:tcPr>
          <w:p w14:paraId="5E4FF982"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INLEMEX, SA DE CV</w:t>
            </w:r>
          </w:p>
        </w:tc>
      </w:tr>
      <w:tr w:rsidR="000848CD" w:rsidRPr="000848CD" w14:paraId="3607A84C" w14:textId="77777777" w:rsidTr="000848CD">
        <w:trPr>
          <w:trHeight w:val="669"/>
          <w:jc w:val="center"/>
        </w:trPr>
        <w:tc>
          <w:tcPr>
            <w:tcW w:w="1220" w:type="dxa"/>
            <w:vAlign w:val="center"/>
          </w:tcPr>
          <w:p w14:paraId="22872EC7"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1214300004</w:t>
            </w:r>
          </w:p>
        </w:tc>
        <w:tc>
          <w:tcPr>
            <w:tcW w:w="2993" w:type="dxa"/>
            <w:vAlign w:val="center"/>
          </w:tcPr>
          <w:p w14:paraId="371A5ACA" w14:textId="77777777" w:rsidR="00642FAC" w:rsidRPr="000848CD" w:rsidRDefault="00642FAC" w:rsidP="000848CD">
            <w:pPr>
              <w:spacing w:after="0" w:line="240" w:lineRule="auto"/>
              <w:rPr>
                <w:rFonts w:ascii="Arial" w:hAnsi="Arial" w:cs="Arial"/>
                <w:color w:val="000000"/>
                <w:sz w:val="18"/>
                <w:szCs w:val="18"/>
                <w:lang w:eastAsia="es-MX"/>
              </w:rPr>
            </w:pPr>
            <w:r w:rsidRPr="000848CD">
              <w:rPr>
                <w:rFonts w:ascii="Arial" w:hAnsi="Arial" w:cs="Arial"/>
                <w:color w:val="000000"/>
                <w:sz w:val="18"/>
                <w:szCs w:val="18"/>
                <w:lang w:eastAsia="es-MX"/>
              </w:rPr>
              <w:t>CAPITAL CUÁNTICO</w:t>
            </w:r>
          </w:p>
        </w:tc>
        <w:tc>
          <w:tcPr>
            <w:tcW w:w="1002" w:type="dxa"/>
            <w:vAlign w:val="center"/>
          </w:tcPr>
          <w:p w14:paraId="0919D0B3" w14:textId="77777777" w:rsidR="00642FAC" w:rsidRPr="000848CD" w:rsidRDefault="00642FAC" w:rsidP="000848CD">
            <w:pPr>
              <w:spacing w:after="0" w:line="240" w:lineRule="auto"/>
              <w:jc w:val="right"/>
              <w:rPr>
                <w:rFonts w:ascii="Arial" w:hAnsi="Arial" w:cs="Arial"/>
                <w:sz w:val="18"/>
                <w:szCs w:val="18"/>
                <w:lang w:eastAsia="es-MX"/>
              </w:rPr>
            </w:pPr>
            <w:r w:rsidRPr="000848CD">
              <w:rPr>
                <w:rFonts w:ascii="Arial" w:hAnsi="Arial" w:cs="Arial"/>
                <w:sz w:val="18"/>
                <w:szCs w:val="18"/>
                <w:lang w:eastAsia="es-MX"/>
              </w:rPr>
              <w:t>109,552</w:t>
            </w:r>
          </w:p>
        </w:tc>
        <w:tc>
          <w:tcPr>
            <w:tcW w:w="1868" w:type="dxa"/>
            <w:vAlign w:val="center"/>
          </w:tcPr>
          <w:p w14:paraId="3E682A49"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SOCIO MINORITARIO</w:t>
            </w:r>
          </w:p>
        </w:tc>
        <w:tc>
          <w:tcPr>
            <w:tcW w:w="2613" w:type="dxa"/>
            <w:vAlign w:val="center"/>
          </w:tcPr>
          <w:p w14:paraId="3D2B0265"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CUANTICO, SA DE CV</w:t>
            </w:r>
          </w:p>
        </w:tc>
      </w:tr>
      <w:tr w:rsidR="000848CD" w:rsidRPr="000848CD" w14:paraId="6EB091F5" w14:textId="77777777" w:rsidTr="000848CD">
        <w:trPr>
          <w:trHeight w:val="669"/>
          <w:jc w:val="center"/>
        </w:trPr>
        <w:tc>
          <w:tcPr>
            <w:tcW w:w="1220" w:type="dxa"/>
            <w:vAlign w:val="center"/>
          </w:tcPr>
          <w:p w14:paraId="5ED029A6"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1214300005</w:t>
            </w:r>
          </w:p>
        </w:tc>
        <w:tc>
          <w:tcPr>
            <w:tcW w:w="2993" w:type="dxa"/>
            <w:vAlign w:val="center"/>
          </w:tcPr>
          <w:p w14:paraId="72DAAE6D" w14:textId="77777777" w:rsidR="00642FAC" w:rsidRPr="000848CD" w:rsidRDefault="00642FAC" w:rsidP="000848CD">
            <w:pPr>
              <w:spacing w:after="0" w:line="240" w:lineRule="auto"/>
              <w:rPr>
                <w:rFonts w:ascii="Arial" w:hAnsi="Arial" w:cs="Arial"/>
                <w:color w:val="000000"/>
                <w:sz w:val="18"/>
                <w:szCs w:val="18"/>
                <w:lang w:eastAsia="es-MX"/>
              </w:rPr>
            </w:pPr>
            <w:r w:rsidRPr="000848CD">
              <w:rPr>
                <w:rFonts w:ascii="Arial" w:hAnsi="Arial" w:cs="Arial"/>
                <w:color w:val="000000"/>
                <w:sz w:val="18"/>
                <w:szCs w:val="18"/>
                <w:lang w:eastAsia="es-MX"/>
              </w:rPr>
              <w:t>CAPITAL INNOVA EPS</w:t>
            </w:r>
          </w:p>
        </w:tc>
        <w:tc>
          <w:tcPr>
            <w:tcW w:w="1002" w:type="dxa"/>
            <w:vAlign w:val="center"/>
          </w:tcPr>
          <w:p w14:paraId="4A6285BB" w14:textId="77777777" w:rsidR="00642FAC" w:rsidRPr="000848CD" w:rsidRDefault="00642FAC" w:rsidP="000848CD">
            <w:pPr>
              <w:spacing w:after="0" w:line="240" w:lineRule="auto"/>
              <w:jc w:val="right"/>
              <w:rPr>
                <w:rFonts w:ascii="Arial" w:hAnsi="Arial" w:cs="Arial"/>
                <w:sz w:val="18"/>
                <w:szCs w:val="18"/>
                <w:lang w:eastAsia="es-MX"/>
              </w:rPr>
            </w:pPr>
            <w:r w:rsidRPr="000848CD">
              <w:rPr>
                <w:rFonts w:ascii="Arial" w:hAnsi="Arial" w:cs="Arial"/>
                <w:sz w:val="18"/>
                <w:szCs w:val="18"/>
                <w:lang w:eastAsia="es-MX"/>
              </w:rPr>
              <w:t>-13,159</w:t>
            </w:r>
          </w:p>
        </w:tc>
        <w:tc>
          <w:tcPr>
            <w:tcW w:w="1868" w:type="dxa"/>
            <w:vAlign w:val="center"/>
          </w:tcPr>
          <w:p w14:paraId="40B133C5"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SOCIO MINORITARIO</w:t>
            </w:r>
          </w:p>
        </w:tc>
        <w:tc>
          <w:tcPr>
            <w:tcW w:w="2613" w:type="dxa"/>
            <w:vAlign w:val="center"/>
          </w:tcPr>
          <w:p w14:paraId="691BE86D" w14:textId="77777777" w:rsidR="00642FAC" w:rsidRPr="000848CD" w:rsidRDefault="00642FAC" w:rsidP="001A399A">
            <w:pPr>
              <w:spacing w:after="0" w:line="240" w:lineRule="auto"/>
              <w:jc w:val="both"/>
              <w:rPr>
                <w:rFonts w:ascii="Arial" w:hAnsi="Arial" w:cs="Arial"/>
                <w:color w:val="000000"/>
                <w:sz w:val="18"/>
                <w:szCs w:val="18"/>
                <w:lang w:eastAsia="es-MX"/>
              </w:rPr>
            </w:pPr>
            <w:r w:rsidRPr="000848CD">
              <w:rPr>
                <w:rFonts w:ascii="Arial" w:hAnsi="Arial" w:cs="Arial"/>
                <w:color w:val="000000"/>
                <w:sz w:val="18"/>
                <w:szCs w:val="18"/>
                <w:lang w:eastAsia="es-MX"/>
              </w:rPr>
              <w:t>INNOVA EPS, SA DE CV</w:t>
            </w:r>
          </w:p>
        </w:tc>
      </w:tr>
    </w:tbl>
    <w:p w14:paraId="06DC6795" w14:textId="77777777" w:rsidR="00642FAC" w:rsidRPr="001A399A" w:rsidRDefault="00642FAC" w:rsidP="001A399A">
      <w:pPr>
        <w:tabs>
          <w:tab w:val="left" w:leader="underscore" w:pos="9639"/>
        </w:tabs>
        <w:spacing w:after="0" w:line="240" w:lineRule="auto"/>
        <w:jc w:val="both"/>
        <w:rPr>
          <w:rFonts w:ascii="Arial" w:hAnsi="Arial" w:cs="Arial"/>
          <w:b/>
          <w:sz w:val="20"/>
          <w:szCs w:val="20"/>
        </w:rPr>
      </w:pPr>
    </w:p>
    <w:p w14:paraId="358C25D1"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507E711B" w14:textId="3F5B8863"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e)</w:t>
      </w:r>
      <w:r w:rsidRPr="001A399A">
        <w:rPr>
          <w:rFonts w:ascii="Arial" w:hAnsi="Arial" w:cs="Arial"/>
          <w:sz w:val="20"/>
          <w:szCs w:val="20"/>
        </w:rPr>
        <w:t xml:space="preserve"> Patrimonio de Organismos Descentralizados de control Presupuestario Directo, según corresponda:</w:t>
      </w:r>
    </w:p>
    <w:p w14:paraId="1DC5F89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No aplica</w:t>
      </w:r>
    </w:p>
    <w:p w14:paraId="4EDDB1C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487AD2C" w14:textId="77777777" w:rsidR="00A12186" w:rsidRDefault="00A12186" w:rsidP="001A399A">
      <w:pPr>
        <w:pStyle w:val="Ttulo2"/>
        <w:spacing w:before="0" w:line="240" w:lineRule="auto"/>
        <w:jc w:val="both"/>
        <w:rPr>
          <w:rFonts w:ascii="Arial" w:hAnsi="Arial" w:cs="Arial"/>
          <w:b/>
          <w:color w:val="auto"/>
          <w:sz w:val="20"/>
          <w:szCs w:val="20"/>
        </w:rPr>
      </w:pPr>
      <w:bookmarkStart w:id="10" w:name="_Toc161472873"/>
    </w:p>
    <w:p w14:paraId="29F94C93" w14:textId="5C939353"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8. Fideicomisos, Mandatos y Análogos:</w:t>
      </w:r>
      <w:bookmarkEnd w:id="10"/>
    </w:p>
    <w:p w14:paraId="5BFB68D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6F2A85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deberá informar:</w:t>
      </w:r>
    </w:p>
    <w:p w14:paraId="3632264B"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CF3E6A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Por ramo administrativo que los reporta: No aplica</w:t>
      </w:r>
    </w:p>
    <w:p w14:paraId="73E4ABF2" w14:textId="77777777" w:rsidR="00642FAC" w:rsidRDefault="00642FAC" w:rsidP="001A399A">
      <w:pPr>
        <w:tabs>
          <w:tab w:val="left" w:leader="underscore" w:pos="9639"/>
        </w:tabs>
        <w:spacing w:after="0" w:line="240" w:lineRule="auto"/>
        <w:jc w:val="both"/>
        <w:rPr>
          <w:rFonts w:ascii="Arial" w:hAnsi="Arial" w:cs="Arial"/>
          <w:b/>
          <w:sz w:val="20"/>
          <w:szCs w:val="20"/>
        </w:rPr>
      </w:pPr>
    </w:p>
    <w:p w14:paraId="3D84F1E1" w14:textId="77777777" w:rsidR="00A12186" w:rsidRPr="001A399A" w:rsidRDefault="00A12186" w:rsidP="001A399A">
      <w:pPr>
        <w:tabs>
          <w:tab w:val="left" w:leader="underscore" w:pos="9639"/>
        </w:tabs>
        <w:spacing w:after="0" w:line="240" w:lineRule="auto"/>
        <w:jc w:val="both"/>
        <w:rPr>
          <w:rFonts w:ascii="Arial" w:hAnsi="Arial" w:cs="Arial"/>
          <w:b/>
          <w:sz w:val="20"/>
          <w:szCs w:val="20"/>
        </w:rPr>
      </w:pPr>
    </w:p>
    <w:p w14:paraId="2807183F"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53B5692C"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54839C7A"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7EE141B3"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4C849B82"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62914AFE" w14:textId="77777777" w:rsidR="00A12186" w:rsidRDefault="00A12186" w:rsidP="001A399A">
      <w:pPr>
        <w:tabs>
          <w:tab w:val="left" w:leader="underscore" w:pos="9639"/>
        </w:tabs>
        <w:spacing w:after="0" w:line="240" w:lineRule="auto"/>
        <w:jc w:val="both"/>
        <w:rPr>
          <w:rFonts w:ascii="Arial" w:hAnsi="Arial" w:cs="Arial"/>
          <w:b/>
          <w:sz w:val="20"/>
          <w:szCs w:val="20"/>
        </w:rPr>
      </w:pPr>
    </w:p>
    <w:p w14:paraId="26A558DA" w14:textId="164EA80A"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Enlistar los de mayor monto de disponibilidad, relacionando aquéllos que conforman el 80% de las disponibilidades:</w:t>
      </w:r>
    </w:p>
    <w:p w14:paraId="4DC77B1A" w14:textId="77777777" w:rsidR="00A12186" w:rsidRPr="001A399A" w:rsidRDefault="00A12186" w:rsidP="001A399A">
      <w:pPr>
        <w:tabs>
          <w:tab w:val="left" w:leader="underscore" w:pos="9639"/>
        </w:tabs>
        <w:spacing w:after="0" w:line="240" w:lineRule="auto"/>
        <w:jc w:val="both"/>
        <w:rPr>
          <w:rFonts w:ascii="Arial" w:hAnsi="Arial" w:cs="Arial"/>
          <w:sz w:val="20"/>
          <w:szCs w:val="20"/>
        </w:rPr>
      </w:pPr>
    </w:p>
    <w:p w14:paraId="304E7970" w14:textId="77777777" w:rsidR="00642FAC" w:rsidRDefault="00642FAC" w:rsidP="001A399A">
      <w:pPr>
        <w:tabs>
          <w:tab w:val="left" w:leader="underscore" w:pos="9639"/>
        </w:tabs>
        <w:spacing w:after="0" w:line="240" w:lineRule="auto"/>
        <w:jc w:val="both"/>
        <w:rPr>
          <w:rFonts w:ascii="Arial" w:hAnsi="Arial" w:cs="Arial"/>
          <w:sz w:val="20"/>
          <w:szCs w:val="20"/>
        </w:rPr>
      </w:pPr>
    </w:p>
    <w:p w14:paraId="0B34195D" w14:textId="77777777" w:rsidR="00A12186" w:rsidRPr="001A399A" w:rsidRDefault="00A12186" w:rsidP="001A399A">
      <w:pPr>
        <w:tabs>
          <w:tab w:val="left" w:leader="underscore" w:pos="9639"/>
        </w:tabs>
        <w:spacing w:after="0" w:line="240" w:lineRule="auto"/>
        <w:jc w:val="both"/>
        <w:rPr>
          <w:rFonts w:ascii="Arial" w:hAnsi="Arial" w:cs="Arial"/>
          <w:sz w:val="20"/>
          <w:szCs w:val="20"/>
        </w:rPr>
      </w:pPr>
    </w:p>
    <w:tbl>
      <w:tblPr>
        <w:tblStyle w:val="Tablaconcuadrcula"/>
        <w:tblW w:w="9791" w:type="dxa"/>
        <w:jc w:val="center"/>
        <w:tblLook w:val="04A0" w:firstRow="1" w:lastRow="0" w:firstColumn="1" w:lastColumn="0" w:noHBand="0" w:noVBand="1"/>
      </w:tblPr>
      <w:tblGrid>
        <w:gridCol w:w="1311"/>
        <w:gridCol w:w="2151"/>
        <w:gridCol w:w="1384"/>
        <w:gridCol w:w="1230"/>
        <w:gridCol w:w="3715"/>
      </w:tblGrid>
      <w:tr w:rsidR="00642FAC" w:rsidRPr="00A12186" w14:paraId="36E06695" w14:textId="77777777" w:rsidTr="00A12186">
        <w:trPr>
          <w:trHeight w:val="117"/>
          <w:jc w:val="center"/>
        </w:trPr>
        <w:tc>
          <w:tcPr>
            <w:tcW w:w="1311" w:type="dxa"/>
            <w:hideMark/>
          </w:tcPr>
          <w:p w14:paraId="4D959A26" w14:textId="77777777" w:rsidR="00642FAC" w:rsidRPr="00A12186" w:rsidRDefault="00642FAC" w:rsidP="001A399A">
            <w:pPr>
              <w:spacing w:after="0" w:line="240" w:lineRule="auto"/>
              <w:jc w:val="center"/>
              <w:rPr>
                <w:rFonts w:ascii="Arial" w:hAnsi="Arial" w:cs="Arial"/>
                <w:b/>
                <w:bCs/>
                <w:sz w:val="18"/>
                <w:szCs w:val="18"/>
              </w:rPr>
            </w:pPr>
            <w:r w:rsidRPr="00A12186">
              <w:rPr>
                <w:rFonts w:ascii="Arial" w:hAnsi="Arial" w:cs="Arial"/>
                <w:b/>
                <w:bCs/>
                <w:sz w:val="18"/>
                <w:szCs w:val="18"/>
              </w:rPr>
              <w:t>CUENTA</w:t>
            </w:r>
          </w:p>
        </w:tc>
        <w:tc>
          <w:tcPr>
            <w:tcW w:w="2151" w:type="dxa"/>
            <w:noWrap/>
            <w:hideMark/>
          </w:tcPr>
          <w:p w14:paraId="7F47832F" w14:textId="77777777" w:rsidR="00642FAC" w:rsidRPr="00A12186" w:rsidRDefault="00642FAC" w:rsidP="001A399A">
            <w:pPr>
              <w:spacing w:after="0" w:line="240" w:lineRule="auto"/>
              <w:jc w:val="center"/>
              <w:rPr>
                <w:rFonts w:ascii="Arial" w:hAnsi="Arial" w:cs="Arial"/>
                <w:b/>
                <w:bCs/>
                <w:sz w:val="18"/>
                <w:szCs w:val="18"/>
              </w:rPr>
            </w:pPr>
            <w:r w:rsidRPr="00A12186">
              <w:rPr>
                <w:rFonts w:ascii="Arial" w:hAnsi="Arial" w:cs="Arial"/>
                <w:b/>
                <w:bCs/>
                <w:sz w:val="18"/>
                <w:szCs w:val="18"/>
              </w:rPr>
              <w:t>NOMBRE DE LA CUENTA</w:t>
            </w:r>
          </w:p>
        </w:tc>
        <w:tc>
          <w:tcPr>
            <w:tcW w:w="1384" w:type="dxa"/>
            <w:hideMark/>
          </w:tcPr>
          <w:p w14:paraId="7580AB0A" w14:textId="77777777" w:rsidR="00642FAC" w:rsidRPr="00A12186" w:rsidRDefault="00642FAC" w:rsidP="00A12186">
            <w:pPr>
              <w:spacing w:after="0" w:line="240" w:lineRule="auto"/>
              <w:jc w:val="right"/>
              <w:rPr>
                <w:rFonts w:ascii="Arial" w:hAnsi="Arial" w:cs="Arial"/>
                <w:b/>
                <w:bCs/>
                <w:sz w:val="18"/>
                <w:szCs w:val="18"/>
              </w:rPr>
            </w:pPr>
            <w:r w:rsidRPr="00A12186">
              <w:rPr>
                <w:rFonts w:ascii="Arial" w:hAnsi="Arial" w:cs="Arial"/>
                <w:b/>
                <w:bCs/>
                <w:sz w:val="18"/>
                <w:szCs w:val="18"/>
              </w:rPr>
              <w:t>MONTO</w:t>
            </w:r>
          </w:p>
        </w:tc>
        <w:tc>
          <w:tcPr>
            <w:tcW w:w="1230" w:type="dxa"/>
            <w:hideMark/>
          </w:tcPr>
          <w:p w14:paraId="642EA055" w14:textId="77777777" w:rsidR="00642FAC" w:rsidRPr="00A12186" w:rsidRDefault="00642FAC" w:rsidP="001A399A">
            <w:pPr>
              <w:spacing w:after="0" w:line="240" w:lineRule="auto"/>
              <w:jc w:val="center"/>
              <w:rPr>
                <w:rFonts w:ascii="Arial" w:hAnsi="Arial" w:cs="Arial"/>
                <w:b/>
                <w:bCs/>
                <w:sz w:val="18"/>
                <w:szCs w:val="18"/>
              </w:rPr>
            </w:pPr>
            <w:r w:rsidRPr="00A12186">
              <w:rPr>
                <w:rFonts w:ascii="Arial" w:hAnsi="Arial" w:cs="Arial"/>
                <w:b/>
                <w:bCs/>
                <w:sz w:val="18"/>
                <w:szCs w:val="18"/>
              </w:rPr>
              <w:t>TIPO</w:t>
            </w:r>
          </w:p>
        </w:tc>
        <w:tc>
          <w:tcPr>
            <w:tcW w:w="3715" w:type="dxa"/>
            <w:noWrap/>
            <w:hideMark/>
          </w:tcPr>
          <w:p w14:paraId="6BC9C6E6" w14:textId="77777777" w:rsidR="00642FAC" w:rsidRPr="00A12186" w:rsidRDefault="00642FAC" w:rsidP="001A399A">
            <w:pPr>
              <w:spacing w:after="0" w:line="240" w:lineRule="auto"/>
              <w:jc w:val="center"/>
              <w:rPr>
                <w:rFonts w:ascii="Arial" w:hAnsi="Arial" w:cs="Arial"/>
                <w:b/>
                <w:bCs/>
                <w:sz w:val="18"/>
                <w:szCs w:val="18"/>
              </w:rPr>
            </w:pPr>
            <w:r w:rsidRPr="00A12186">
              <w:rPr>
                <w:rFonts w:ascii="Arial" w:hAnsi="Arial" w:cs="Arial"/>
                <w:b/>
                <w:bCs/>
                <w:sz w:val="18"/>
                <w:szCs w:val="18"/>
              </w:rPr>
              <w:t>NOMBRE DEL FIDEICOMISO</w:t>
            </w:r>
          </w:p>
        </w:tc>
      </w:tr>
      <w:tr w:rsidR="00642FAC" w:rsidRPr="00A12186" w14:paraId="2AE55FB4" w14:textId="77777777" w:rsidTr="00A12186">
        <w:trPr>
          <w:trHeight w:val="404"/>
          <w:jc w:val="center"/>
        </w:trPr>
        <w:tc>
          <w:tcPr>
            <w:tcW w:w="1311" w:type="dxa"/>
            <w:vAlign w:val="center"/>
            <w:hideMark/>
          </w:tcPr>
          <w:p w14:paraId="59CC33E0"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1213400030</w:t>
            </w:r>
          </w:p>
        </w:tc>
        <w:tc>
          <w:tcPr>
            <w:tcW w:w="2151" w:type="dxa"/>
            <w:vAlign w:val="center"/>
            <w:hideMark/>
          </w:tcPr>
          <w:p w14:paraId="09EEF8BD"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Jubilaciones y pensiones</w:t>
            </w:r>
          </w:p>
        </w:tc>
        <w:tc>
          <w:tcPr>
            <w:tcW w:w="1384" w:type="dxa"/>
            <w:vAlign w:val="center"/>
            <w:hideMark/>
          </w:tcPr>
          <w:p w14:paraId="2FC90E67" w14:textId="77777777" w:rsidR="00642FAC" w:rsidRPr="00A12186" w:rsidRDefault="00642FAC" w:rsidP="00A12186">
            <w:pPr>
              <w:spacing w:after="0" w:line="240" w:lineRule="auto"/>
              <w:jc w:val="right"/>
              <w:rPr>
                <w:rFonts w:ascii="Arial" w:hAnsi="Arial" w:cs="Arial"/>
                <w:color w:val="000000"/>
                <w:sz w:val="18"/>
                <w:szCs w:val="18"/>
                <w:lang w:eastAsia="es-MX"/>
              </w:rPr>
            </w:pPr>
            <w:r w:rsidRPr="00A12186">
              <w:rPr>
                <w:rFonts w:ascii="Arial" w:hAnsi="Arial" w:cs="Arial"/>
                <w:color w:val="000000"/>
                <w:sz w:val="18"/>
                <w:szCs w:val="18"/>
              </w:rPr>
              <w:t xml:space="preserve">    1,051,480,708 </w:t>
            </w:r>
          </w:p>
        </w:tc>
        <w:tc>
          <w:tcPr>
            <w:tcW w:w="1230" w:type="dxa"/>
            <w:vAlign w:val="center"/>
            <w:hideMark/>
          </w:tcPr>
          <w:p w14:paraId="4F3A518B"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TERCEROS</w:t>
            </w:r>
          </w:p>
        </w:tc>
        <w:tc>
          <w:tcPr>
            <w:tcW w:w="3715" w:type="dxa"/>
            <w:vAlign w:val="center"/>
            <w:hideMark/>
          </w:tcPr>
          <w:p w14:paraId="0B573052"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ADMINISTRAR LOS RECURSOS ASIGNADOS A LA UNIVERSIDAD DE GUANAJUATO EN CADA UNO DE LOS CONVENIOS</w:t>
            </w:r>
          </w:p>
        </w:tc>
      </w:tr>
      <w:tr w:rsidR="00642FAC" w:rsidRPr="00A12186" w14:paraId="33AA1801" w14:textId="77777777" w:rsidTr="00A12186">
        <w:trPr>
          <w:trHeight w:val="404"/>
          <w:jc w:val="center"/>
        </w:trPr>
        <w:tc>
          <w:tcPr>
            <w:tcW w:w="1311" w:type="dxa"/>
            <w:vAlign w:val="center"/>
            <w:hideMark/>
          </w:tcPr>
          <w:p w14:paraId="3C9552C9"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1213400050</w:t>
            </w:r>
          </w:p>
        </w:tc>
        <w:tc>
          <w:tcPr>
            <w:tcW w:w="2151" w:type="dxa"/>
            <w:vAlign w:val="center"/>
            <w:hideMark/>
          </w:tcPr>
          <w:p w14:paraId="4795AD0E"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PRODEP 2016</w:t>
            </w:r>
          </w:p>
        </w:tc>
        <w:tc>
          <w:tcPr>
            <w:tcW w:w="1384" w:type="dxa"/>
            <w:vAlign w:val="center"/>
            <w:hideMark/>
          </w:tcPr>
          <w:p w14:paraId="541CC93A" w14:textId="77777777" w:rsidR="00642FAC" w:rsidRPr="00A12186" w:rsidRDefault="00642FAC" w:rsidP="00A12186">
            <w:pPr>
              <w:spacing w:after="0" w:line="240" w:lineRule="auto"/>
              <w:jc w:val="right"/>
              <w:rPr>
                <w:rFonts w:ascii="Arial" w:hAnsi="Arial" w:cs="Arial"/>
                <w:sz w:val="18"/>
                <w:szCs w:val="18"/>
              </w:rPr>
            </w:pPr>
            <w:r w:rsidRPr="00A12186">
              <w:rPr>
                <w:rFonts w:ascii="Arial" w:hAnsi="Arial" w:cs="Arial"/>
                <w:color w:val="000000"/>
                <w:sz w:val="18"/>
                <w:szCs w:val="18"/>
              </w:rPr>
              <w:t xml:space="preserve">          90,336,631 </w:t>
            </w:r>
          </w:p>
        </w:tc>
        <w:tc>
          <w:tcPr>
            <w:tcW w:w="1230" w:type="dxa"/>
            <w:vAlign w:val="center"/>
            <w:hideMark/>
          </w:tcPr>
          <w:p w14:paraId="6F60996C"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TERCEROS</w:t>
            </w:r>
          </w:p>
        </w:tc>
        <w:tc>
          <w:tcPr>
            <w:tcW w:w="3715" w:type="dxa"/>
            <w:vAlign w:val="center"/>
            <w:hideMark/>
          </w:tcPr>
          <w:p w14:paraId="67EABEE4"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 xml:space="preserve">ADMINISTRAR LOS RECURSOS ASIGNADOS A LA UNIVERSIDAD DE </w:t>
            </w:r>
            <w:r w:rsidRPr="00A12186">
              <w:rPr>
                <w:rFonts w:ascii="Arial" w:hAnsi="Arial" w:cs="Arial"/>
                <w:sz w:val="18"/>
                <w:szCs w:val="18"/>
              </w:rPr>
              <w:lastRenderedPageBreak/>
              <w:t>GUANAJUATO EN CADA UNO DE LOS CONVENIOS</w:t>
            </w:r>
          </w:p>
        </w:tc>
      </w:tr>
      <w:tr w:rsidR="00642FAC" w:rsidRPr="00A12186" w14:paraId="435D9E70" w14:textId="77777777" w:rsidTr="00A12186">
        <w:trPr>
          <w:trHeight w:val="79"/>
          <w:jc w:val="center"/>
        </w:trPr>
        <w:tc>
          <w:tcPr>
            <w:tcW w:w="1311" w:type="dxa"/>
            <w:vAlign w:val="center"/>
          </w:tcPr>
          <w:p w14:paraId="1F67BCC6"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lastRenderedPageBreak/>
              <w:t>1213400450</w:t>
            </w:r>
          </w:p>
        </w:tc>
        <w:tc>
          <w:tcPr>
            <w:tcW w:w="2151" w:type="dxa"/>
            <w:vAlign w:val="center"/>
          </w:tcPr>
          <w:p w14:paraId="69C1CCAC"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PRODEP 2019</w:t>
            </w:r>
          </w:p>
        </w:tc>
        <w:tc>
          <w:tcPr>
            <w:tcW w:w="1384" w:type="dxa"/>
            <w:vAlign w:val="center"/>
          </w:tcPr>
          <w:p w14:paraId="4AD5CD08" w14:textId="77777777" w:rsidR="00642FAC" w:rsidRPr="00A12186" w:rsidRDefault="00642FAC" w:rsidP="00A12186">
            <w:pPr>
              <w:spacing w:after="0" w:line="240" w:lineRule="auto"/>
              <w:jc w:val="right"/>
              <w:rPr>
                <w:rFonts w:ascii="Arial" w:hAnsi="Arial" w:cs="Arial"/>
                <w:sz w:val="18"/>
                <w:szCs w:val="18"/>
              </w:rPr>
            </w:pPr>
            <w:r w:rsidRPr="00A12186">
              <w:rPr>
                <w:rFonts w:ascii="Arial" w:hAnsi="Arial" w:cs="Arial"/>
                <w:color w:val="000000"/>
                <w:sz w:val="18"/>
                <w:szCs w:val="18"/>
              </w:rPr>
              <w:t xml:space="preserve">                348,215 </w:t>
            </w:r>
          </w:p>
        </w:tc>
        <w:tc>
          <w:tcPr>
            <w:tcW w:w="1230" w:type="dxa"/>
            <w:vAlign w:val="center"/>
          </w:tcPr>
          <w:p w14:paraId="072790FD"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TERCEROS</w:t>
            </w:r>
          </w:p>
        </w:tc>
        <w:tc>
          <w:tcPr>
            <w:tcW w:w="3715" w:type="dxa"/>
            <w:vAlign w:val="center"/>
          </w:tcPr>
          <w:p w14:paraId="13F1EEAA" w14:textId="77777777" w:rsidR="00642FAC" w:rsidRPr="00A12186" w:rsidRDefault="00642FAC" w:rsidP="001A399A">
            <w:pPr>
              <w:spacing w:after="0" w:line="240" w:lineRule="auto"/>
              <w:jc w:val="both"/>
              <w:rPr>
                <w:rFonts w:ascii="Arial" w:hAnsi="Arial" w:cs="Arial"/>
                <w:sz w:val="18"/>
                <w:szCs w:val="18"/>
              </w:rPr>
            </w:pPr>
            <w:r w:rsidRPr="00A12186">
              <w:rPr>
                <w:rFonts w:ascii="Arial" w:hAnsi="Arial" w:cs="Arial"/>
                <w:sz w:val="18"/>
                <w:szCs w:val="18"/>
              </w:rPr>
              <w:t>ADMINISTRAR LOS RECURSOS ASIGNADOS A LA UNIVERSIDAD DE GUANAJUATO EN CADA UNO DE LOS CONVENIOS</w:t>
            </w:r>
          </w:p>
        </w:tc>
      </w:tr>
      <w:tr w:rsidR="00642FAC" w:rsidRPr="00A12186" w14:paraId="30E0FF6C" w14:textId="77777777" w:rsidTr="00A12186">
        <w:trPr>
          <w:trHeight w:val="79"/>
          <w:jc w:val="center"/>
        </w:trPr>
        <w:tc>
          <w:tcPr>
            <w:tcW w:w="1311" w:type="dxa"/>
            <w:hideMark/>
          </w:tcPr>
          <w:p w14:paraId="79940EBE" w14:textId="77777777" w:rsidR="00642FAC" w:rsidRPr="00A12186" w:rsidRDefault="00642FAC" w:rsidP="001A399A">
            <w:pPr>
              <w:spacing w:after="0" w:line="240" w:lineRule="auto"/>
              <w:jc w:val="both"/>
              <w:rPr>
                <w:rFonts w:ascii="Arial" w:hAnsi="Arial" w:cs="Arial"/>
                <w:b/>
                <w:bCs/>
                <w:sz w:val="18"/>
                <w:szCs w:val="18"/>
              </w:rPr>
            </w:pPr>
            <w:r w:rsidRPr="00A12186">
              <w:rPr>
                <w:rFonts w:ascii="Arial" w:hAnsi="Arial" w:cs="Arial"/>
                <w:b/>
                <w:bCs/>
                <w:sz w:val="18"/>
                <w:szCs w:val="18"/>
              </w:rPr>
              <w:t> </w:t>
            </w:r>
          </w:p>
        </w:tc>
        <w:tc>
          <w:tcPr>
            <w:tcW w:w="2151" w:type="dxa"/>
            <w:hideMark/>
          </w:tcPr>
          <w:p w14:paraId="400689FB" w14:textId="77777777" w:rsidR="00642FAC" w:rsidRPr="00A12186" w:rsidRDefault="00642FAC" w:rsidP="001A399A">
            <w:pPr>
              <w:spacing w:after="0" w:line="240" w:lineRule="auto"/>
              <w:jc w:val="both"/>
              <w:rPr>
                <w:rFonts w:ascii="Arial" w:hAnsi="Arial" w:cs="Arial"/>
                <w:b/>
                <w:bCs/>
                <w:sz w:val="18"/>
                <w:szCs w:val="18"/>
              </w:rPr>
            </w:pPr>
            <w:r w:rsidRPr="00A12186">
              <w:rPr>
                <w:rFonts w:ascii="Arial" w:hAnsi="Arial" w:cs="Arial"/>
                <w:b/>
                <w:bCs/>
                <w:sz w:val="18"/>
                <w:szCs w:val="18"/>
              </w:rPr>
              <w:t>TOTAL_1213</w:t>
            </w:r>
          </w:p>
        </w:tc>
        <w:tc>
          <w:tcPr>
            <w:tcW w:w="1384" w:type="dxa"/>
            <w:vAlign w:val="center"/>
            <w:hideMark/>
          </w:tcPr>
          <w:p w14:paraId="55E83EDE" w14:textId="77777777" w:rsidR="00642FAC" w:rsidRPr="00A12186" w:rsidRDefault="00642FAC" w:rsidP="00A12186">
            <w:pPr>
              <w:spacing w:after="0" w:line="240" w:lineRule="auto"/>
              <w:jc w:val="right"/>
              <w:rPr>
                <w:rFonts w:ascii="Arial" w:hAnsi="Arial" w:cs="Arial"/>
                <w:b/>
                <w:bCs/>
                <w:sz w:val="18"/>
                <w:szCs w:val="18"/>
              </w:rPr>
            </w:pPr>
            <w:r w:rsidRPr="00A12186">
              <w:rPr>
                <w:rFonts w:ascii="Arial" w:hAnsi="Arial" w:cs="Arial"/>
                <w:color w:val="000000"/>
                <w:sz w:val="18"/>
                <w:szCs w:val="18"/>
              </w:rPr>
              <w:t xml:space="preserve">    1,142,165,554 </w:t>
            </w:r>
          </w:p>
        </w:tc>
        <w:tc>
          <w:tcPr>
            <w:tcW w:w="1230" w:type="dxa"/>
            <w:hideMark/>
          </w:tcPr>
          <w:p w14:paraId="49C0BEF0" w14:textId="77777777" w:rsidR="00642FAC" w:rsidRPr="00A12186" w:rsidRDefault="00642FAC" w:rsidP="001A399A">
            <w:pPr>
              <w:spacing w:after="0" w:line="240" w:lineRule="auto"/>
              <w:jc w:val="both"/>
              <w:rPr>
                <w:rFonts w:ascii="Arial" w:hAnsi="Arial" w:cs="Arial"/>
                <w:b/>
                <w:bCs/>
                <w:sz w:val="18"/>
                <w:szCs w:val="18"/>
              </w:rPr>
            </w:pPr>
            <w:r w:rsidRPr="00A12186">
              <w:rPr>
                <w:rFonts w:ascii="Arial" w:hAnsi="Arial" w:cs="Arial"/>
                <w:b/>
                <w:bCs/>
                <w:sz w:val="18"/>
                <w:szCs w:val="18"/>
              </w:rPr>
              <w:t> </w:t>
            </w:r>
          </w:p>
        </w:tc>
        <w:tc>
          <w:tcPr>
            <w:tcW w:w="3715" w:type="dxa"/>
            <w:hideMark/>
          </w:tcPr>
          <w:p w14:paraId="0269D36F" w14:textId="77777777" w:rsidR="00642FAC" w:rsidRPr="00A12186" w:rsidRDefault="00642FAC" w:rsidP="001A399A">
            <w:pPr>
              <w:spacing w:after="0" w:line="240" w:lineRule="auto"/>
              <w:jc w:val="both"/>
              <w:rPr>
                <w:rFonts w:ascii="Arial" w:hAnsi="Arial" w:cs="Arial"/>
                <w:b/>
                <w:bCs/>
                <w:sz w:val="18"/>
                <w:szCs w:val="18"/>
              </w:rPr>
            </w:pPr>
            <w:r w:rsidRPr="00A12186">
              <w:rPr>
                <w:rFonts w:ascii="Arial" w:hAnsi="Arial" w:cs="Arial"/>
                <w:b/>
                <w:bCs/>
                <w:sz w:val="18"/>
                <w:szCs w:val="18"/>
              </w:rPr>
              <w:t> </w:t>
            </w:r>
          </w:p>
        </w:tc>
      </w:tr>
    </w:tbl>
    <w:p w14:paraId="42B3B19F"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43F008C6" w14:textId="77777777" w:rsidR="00A12186" w:rsidRDefault="00A12186" w:rsidP="001A399A">
      <w:pPr>
        <w:pStyle w:val="Ttulo2"/>
        <w:spacing w:before="0" w:line="240" w:lineRule="auto"/>
        <w:jc w:val="both"/>
        <w:rPr>
          <w:rFonts w:ascii="Arial" w:hAnsi="Arial" w:cs="Arial"/>
          <w:b/>
          <w:color w:val="auto"/>
          <w:sz w:val="20"/>
          <w:szCs w:val="20"/>
        </w:rPr>
      </w:pPr>
      <w:bookmarkStart w:id="11" w:name="_Toc161472874"/>
      <w:bookmarkStart w:id="12" w:name="_Hlk189051966"/>
    </w:p>
    <w:p w14:paraId="02B1F403" w14:textId="6D17C511"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9. Reporte de la Recaudación:</w:t>
      </w:r>
      <w:bookmarkEnd w:id="11"/>
    </w:p>
    <w:p w14:paraId="7FEAC2FF" w14:textId="77777777" w:rsidR="00642FAC" w:rsidRDefault="00642FAC" w:rsidP="001A399A">
      <w:pPr>
        <w:tabs>
          <w:tab w:val="left" w:leader="underscore" w:pos="9639"/>
        </w:tabs>
        <w:spacing w:after="0" w:line="240" w:lineRule="auto"/>
        <w:jc w:val="both"/>
        <w:rPr>
          <w:rFonts w:ascii="Arial" w:hAnsi="Arial" w:cs="Arial"/>
          <w:sz w:val="20"/>
          <w:szCs w:val="20"/>
        </w:rPr>
      </w:pPr>
    </w:p>
    <w:p w14:paraId="516235B1" w14:textId="77777777" w:rsidR="00A12186" w:rsidRPr="001A399A" w:rsidRDefault="00A12186" w:rsidP="001A399A">
      <w:pPr>
        <w:tabs>
          <w:tab w:val="left" w:leader="underscore" w:pos="9639"/>
        </w:tabs>
        <w:spacing w:after="0" w:line="240" w:lineRule="auto"/>
        <w:jc w:val="both"/>
        <w:rPr>
          <w:rFonts w:ascii="Arial" w:hAnsi="Arial" w:cs="Arial"/>
          <w:sz w:val="20"/>
          <w:szCs w:val="20"/>
        </w:rPr>
      </w:pPr>
    </w:p>
    <w:p w14:paraId="6C479B6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1221F5C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BDE4C53"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Style w:val="Tablaconcuadrcula"/>
        <w:tblW w:w="10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559"/>
        <w:gridCol w:w="1560"/>
        <w:gridCol w:w="1559"/>
        <w:gridCol w:w="1559"/>
        <w:gridCol w:w="1960"/>
      </w:tblGrid>
      <w:tr w:rsidR="00A12186" w:rsidRPr="00A12186" w14:paraId="2A85268C" w14:textId="77777777" w:rsidTr="00A12186">
        <w:trPr>
          <w:trHeight w:val="234"/>
          <w:jc w:val="center"/>
        </w:trPr>
        <w:tc>
          <w:tcPr>
            <w:tcW w:w="1843" w:type="dxa"/>
            <w:vAlign w:val="bottom"/>
          </w:tcPr>
          <w:p w14:paraId="5A22EA1C" w14:textId="77777777" w:rsidR="00642FAC" w:rsidRPr="00A12186" w:rsidRDefault="00642FAC" w:rsidP="001A399A">
            <w:pPr>
              <w:tabs>
                <w:tab w:val="left" w:leader="underscore" w:pos="9639"/>
              </w:tabs>
              <w:spacing w:after="0" w:line="240" w:lineRule="auto"/>
              <w:jc w:val="both"/>
              <w:rPr>
                <w:rFonts w:ascii="Arial" w:hAnsi="Arial" w:cs="Arial"/>
                <w:b/>
                <w:bCs/>
                <w:sz w:val="18"/>
                <w:szCs w:val="18"/>
              </w:rPr>
            </w:pPr>
            <w:r w:rsidRPr="00A12186">
              <w:rPr>
                <w:rFonts w:ascii="Arial" w:hAnsi="Arial" w:cs="Arial"/>
                <w:b/>
                <w:bCs/>
                <w:sz w:val="18"/>
                <w:szCs w:val="18"/>
              </w:rPr>
              <w:t>Rubro</w:t>
            </w:r>
          </w:p>
        </w:tc>
        <w:tc>
          <w:tcPr>
            <w:tcW w:w="1559" w:type="dxa"/>
            <w:vAlign w:val="bottom"/>
          </w:tcPr>
          <w:p w14:paraId="087C2BD6"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2025</w:t>
            </w:r>
          </w:p>
        </w:tc>
        <w:tc>
          <w:tcPr>
            <w:tcW w:w="1560" w:type="dxa"/>
            <w:vAlign w:val="bottom"/>
          </w:tcPr>
          <w:p w14:paraId="1EAA674B"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2024</w:t>
            </w:r>
          </w:p>
        </w:tc>
        <w:tc>
          <w:tcPr>
            <w:tcW w:w="1559" w:type="dxa"/>
            <w:vAlign w:val="bottom"/>
          </w:tcPr>
          <w:p w14:paraId="0A4964B8"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2023</w:t>
            </w:r>
          </w:p>
        </w:tc>
        <w:tc>
          <w:tcPr>
            <w:tcW w:w="1559" w:type="dxa"/>
            <w:vAlign w:val="bottom"/>
          </w:tcPr>
          <w:p w14:paraId="3CA98A5C"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2022</w:t>
            </w:r>
          </w:p>
        </w:tc>
        <w:tc>
          <w:tcPr>
            <w:tcW w:w="1960" w:type="dxa"/>
            <w:vAlign w:val="bottom"/>
          </w:tcPr>
          <w:p w14:paraId="4F2DC902"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2021</w:t>
            </w:r>
          </w:p>
        </w:tc>
      </w:tr>
      <w:tr w:rsidR="00A12186" w:rsidRPr="00A12186" w14:paraId="7C5C83A5" w14:textId="77777777" w:rsidTr="00A12186">
        <w:trPr>
          <w:trHeight w:val="239"/>
          <w:jc w:val="center"/>
        </w:trPr>
        <w:tc>
          <w:tcPr>
            <w:tcW w:w="1843" w:type="dxa"/>
            <w:vAlign w:val="bottom"/>
          </w:tcPr>
          <w:p w14:paraId="51249403" w14:textId="77777777" w:rsidR="00642FAC" w:rsidRPr="00A12186" w:rsidRDefault="00642FAC" w:rsidP="001A399A">
            <w:pPr>
              <w:tabs>
                <w:tab w:val="left" w:leader="underscore" w:pos="9639"/>
              </w:tabs>
              <w:spacing w:after="0" w:line="240" w:lineRule="auto"/>
              <w:jc w:val="both"/>
              <w:rPr>
                <w:rFonts w:ascii="Arial" w:hAnsi="Arial" w:cs="Arial"/>
                <w:sz w:val="18"/>
                <w:szCs w:val="18"/>
              </w:rPr>
            </w:pPr>
            <w:r w:rsidRPr="00A12186">
              <w:rPr>
                <w:rFonts w:ascii="Arial" w:hAnsi="Arial" w:cs="Arial"/>
                <w:color w:val="000000"/>
                <w:sz w:val="18"/>
                <w:szCs w:val="18"/>
              </w:rPr>
              <w:t>Ingresos Estatales</w:t>
            </w:r>
          </w:p>
        </w:tc>
        <w:tc>
          <w:tcPr>
            <w:tcW w:w="1559" w:type="dxa"/>
            <w:vAlign w:val="center"/>
          </w:tcPr>
          <w:p w14:paraId="034F180D"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rPr>
            </w:pPr>
            <w:r w:rsidRPr="00A12186">
              <w:rPr>
                <w:rFonts w:ascii="Arial" w:hAnsi="Arial" w:cs="Arial"/>
                <w:color w:val="000000"/>
                <w:sz w:val="18"/>
                <w:szCs w:val="18"/>
              </w:rPr>
              <w:t>$1,928,932,597</w:t>
            </w:r>
          </w:p>
        </w:tc>
        <w:tc>
          <w:tcPr>
            <w:tcW w:w="1560" w:type="dxa"/>
            <w:vAlign w:val="center"/>
          </w:tcPr>
          <w:p w14:paraId="0C5A5FDA"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color w:val="000000"/>
                <w:sz w:val="18"/>
                <w:szCs w:val="18"/>
              </w:rPr>
              <w:t>$</w:t>
            </w:r>
            <w:r w:rsidRPr="00A12186">
              <w:rPr>
                <w:rFonts w:ascii="Arial" w:hAnsi="Arial" w:cs="Arial"/>
                <w:color w:val="000000"/>
                <w:sz w:val="18"/>
                <w:szCs w:val="18"/>
              </w:rPr>
              <w:tab/>
              <w:t>1,872,705,577</w:t>
            </w:r>
          </w:p>
        </w:tc>
        <w:tc>
          <w:tcPr>
            <w:tcW w:w="1559" w:type="dxa"/>
            <w:vAlign w:val="center"/>
          </w:tcPr>
          <w:p w14:paraId="021BD95C"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color w:val="000000"/>
                <w:sz w:val="18"/>
                <w:szCs w:val="18"/>
              </w:rPr>
              <w:t>$</w:t>
            </w:r>
            <w:r w:rsidRPr="00A12186">
              <w:rPr>
                <w:rFonts w:ascii="Arial" w:hAnsi="Arial" w:cs="Arial"/>
                <w:color w:val="000000"/>
                <w:sz w:val="18"/>
                <w:szCs w:val="18"/>
              </w:rPr>
              <w:tab/>
              <w:t>1,785,246,168</w:t>
            </w:r>
          </w:p>
        </w:tc>
        <w:tc>
          <w:tcPr>
            <w:tcW w:w="1559" w:type="dxa"/>
            <w:vAlign w:val="center"/>
          </w:tcPr>
          <w:p w14:paraId="016E5A82"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color w:val="000000"/>
                <w:sz w:val="18"/>
                <w:szCs w:val="18"/>
              </w:rPr>
              <w:t>$</w:t>
            </w:r>
            <w:r w:rsidRPr="00A12186">
              <w:rPr>
                <w:rFonts w:ascii="Arial" w:hAnsi="Arial" w:cs="Arial"/>
                <w:color w:val="000000"/>
                <w:sz w:val="18"/>
                <w:szCs w:val="18"/>
              </w:rPr>
              <w:tab/>
              <w:t>1,569,396,610</w:t>
            </w:r>
          </w:p>
        </w:tc>
        <w:tc>
          <w:tcPr>
            <w:tcW w:w="1960" w:type="dxa"/>
            <w:vAlign w:val="center"/>
          </w:tcPr>
          <w:p w14:paraId="0192EB60"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color w:val="000000"/>
                <w:sz w:val="18"/>
                <w:szCs w:val="18"/>
              </w:rPr>
              <w:t>$</w:t>
            </w:r>
            <w:r w:rsidRPr="00A12186">
              <w:rPr>
                <w:rFonts w:ascii="Arial" w:hAnsi="Arial" w:cs="Arial"/>
                <w:color w:val="000000"/>
                <w:sz w:val="18"/>
                <w:szCs w:val="18"/>
              </w:rPr>
              <w:tab/>
              <w:t>1,452,565,293</w:t>
            </w:r>
          </w:p>
        </w:tc>
      </w:tr>
      <w:tr w:rsidR="00A12186" w:rsidRPr="00A12186" w14:paraId="4D421511" w14:textId="77777777" w:rsidTr="00A12186">
        <w:trPr>
          <w:trHeight w:val="361"/>
          <w:jc w:val="center"/>
        </w:trPr>
        <w:tc>
          <w:tcPr>
            <w:tcW w:w="1843" w:type="dxa"/>
            <w:vAlign w:val="bottom"/>
          </w:tcPr>
          <w:p w14:paraId="04334133" w14:textId="77777777" w:rsidR="00642FAC" w:rsidRPr="00A12186" w:rsidRDefault="00642FAC" w:rsidP="001A399A">
            <w:pPr>
              <w:tabs>
                <w:tab w:val="left" w:leader="underscore" w:pos="9639"/>
              </w:tabs>
              <w:spacing w:after="0" w:line="240" w:lineRule="auto"/>
              <w:ind w:left="179" w:hanging="179"/>
              <w:jc w:val="both"/>
              <w:rPr>
                <w:rFonts w:ascii="Arial" w:hAnsi="Arial" w:cs="Arial"/>
                <w:sz w:val="18"/>
                <w:szCs w:val="18"/>
              </w:rPr>
            </w:pPr>
            <w:r w:rsidRPr="00A12186">
              <w:rPr>
                <w:rFonts w:ascii="Arial" w:hAnsi="Arial" w:cs="Arial"/>
                <w:color w:val="000000"/>
                <w:sz w:val="18"/>
                <w:szCs w:val="18"/>
              </w:rPr>
              <w:t>Ingresos Federales</w:t>
            </w:r>
          </w:p>
        </w:tc>
        <w:tc>
          <w:tcPr>
            <w:tcW w:w="1559" w:type="dxa"/>
            <w:vAlign w:val="center"/>
          </w:tcPr>
          <w:p w14:paraId="3D58E1AC"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color w:val="000000"/>
                <w:sz w:val="18"/>
                <w:szCs w:val="18"/>
                <w:u w:val="single"/>
              </w:rPr>
              <w:t>2,421,149,456</w:t>
            </w:r>
          </w:p>
        </w:tc>
        <w:tc>
          <w:tcPr>
            <w:tcW w:w="1560" w:type="dxa"/>
            <w:vAlign w:val="center"/>
          </w:tcPr>
          <w:p w14:paraId="15D65A67"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u w:val="single"/>
              </w:rPr>
            </w:pPr>
            <w:r w:rsidRPr="00A12186">
              <w:rPr>
                <w:rFonts w:ascii="Arial" w:hAnsi="Arial" w:cs="Arial"/>
                <w:color w:val="000000"/>
                <w:sz w:val="18"/>
                <w:szCs w:val="18"/>
                <w:u w:val="single"/>
              </w:rPr>
              <w:t>2,366,112,016</w:t>
            </w:r>
          </w:p>
        </w:tc>
        <w:tc>
          <w:tcPr>
            <w:tcW w:w="1559" w:type="dxa"/>
            <w:vAlign w:val="center"/>
          </w:tcPr>
          <w:p w14:paraId="5B56EFDE"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u w:val="single"/>
              </w:rPr>
            </w:pPr>
            <w:r w:rsidRPr="00A12186">
              <w:rPr>
                <w:rFonts w:ascii="Arial" w:hAnsi="Arial" w:cs="Arial"/>
                <w:color w:val="000000"/>
                <w:sz w:val="18"/>
                <w:szCs w:val="18"/>
                <w:u w:val="single"/>
              </w:rPr>
              <w:t>2,263,034,049</w:t>
            </w:r>
          </w:p>
        </w:tc>
        <w:tc>
          <w:tcPr>
            <w:tcW w:w="1559" w:type="dxa"/>
            <w:vAlign w:val="center"/>
          </w:tcPr>
          <w:p w14:paraId="313CF84F"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color w:val="000000"/>
                <w:sz w:val="18"/>
                <w:szCs w:val="18"/>
                <w:u w:val="single"/>
              </w:rPr>
              <w:t>2,132,021,610</w:t>
            </w:r>
          </w:p>
        </w:tc>
        <w:tc>
          <w:tcPr>
            <w:tcW w:w="1960" w:type="dxa"/>
            <w:vAlign w:val="center"/>
          </w:tcPr>
          <w:p w14:paraId="0B0EAE51"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color w:val="000000"/>
                <w:sz w:val="18"/>
                <w:szCs w:val="18"/>
                <w:u w:val="single"/>
              </w:rPr>
              <w:t>2,038,695,718</w:t>
            </w:r>
          </w:p>
        </w:tc>
      </w:tr>
      <w:tr w:rsidR="00A12186" w:rsidRPr="00A12186" w14:paraId="07C4D4B7" w14:textId="77777777" w:rsidTr="00A12186">
        <w:trPr>
          <w:trHeight w:val="103"/>
          <w:jc w:val="center"/>
        </w:trPr>
        <w:tc>
          <w:tcPr>
            <w:tcW w:w="1843" w:type="dxa"/>
          </w:tcPr>
          <w:p w14:paraId="7B2F1D7D" w14:textId="77777777" w:rsidR="00642FAC" w:rsidRPr="00A12186" w:rsidRDefault="00642FAC" w:rsidP="001A399A">
            <w:pPr>
              <w:tabs>
                <w:tab w:val="left" w:leader="underscore" w:pos="9639"/>
              </w:tabs>
              <w:spacing w:after="0" w:line="240" w:lineRule="auto"/>
              <w:jc w:val="both"/>
              <w:rPr>
                <w:rFonts w:ascii="Arial" w:hAnsi="Arial" w:cs="Arial"/>
                <w:sz w:val="18"/>
                <w:szCs w:val="18"/>
              </w:rPr>
            </w:pPr>
          </w:p>
        </w:tc>
        <w:tc>
          <w:tcPr>
            <w:tcW w:w="1559" w:type="dxa"/>
            <w:vAlign w:val="center"/>
          </w:tcPr>
          <w:p w14:paraId="598B4F53"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t>4,350,082,053</w:t>
            </w:r>
          </w:p>
        </w:tc>
        <w:tc>
          <w:tcPr>
            <w:tcW w:w="1560" w:type="dxa"/>
            <w:vAlign w:val="center"/>
          </w:tcPr>
          <w:p w14:paraId="506F1A5D"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t>4,238,817,593</w:t>
            </w:r>
          </w:p>
        </w:tc>
        <w:tc>
          <w:tcPr>
            <w:tcW w:w="1559" w:type="dxa"/>
            <w:vAlign w:val="center"/>
          </w:tcPr>
          <w:p w14:paraId="51533B40"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t>4,048,280,217</w:t>
            </w:r>
          </w:p>
        </w:tc>
        <w:tc>
          <w:tcPr>
            <w:tcW w:w="1559" w:type="dxa"/>
            <w:vAlign w:val="center"/>
          </w:tcPr>
          <w:p w14:paraId="0114DB73"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t>3,701,418,219</w:t>
            </w:r>
          </w:p>
        </w:tc>
        <w:tc>
          <w:tcPr>
            <w:tcW w:w="1960" w:type="dxa"/>
            <w:vAlign w:val="center"/>
          </w:tcPr>
          <w:p w14:paraId="18336C0C"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t>3,491,261,011</w:t>
            </w:r>
          </w:p>
        </w:tc>
      </w:tr>
      <w:bookmarkEnd w:id="12"/>
    </w:tbl>
    <w:p w14:paraId="252132FB" w14:textId="77777777" w:rsidR="00642FAC" w:rsidRPr="001A399A" w:rsidRDefault="00642FAC" w:rsidP="001A399A">
      <w:pPr>
        <w:tabs>
          <w:tab w:val="left" w:leader="underscore" w:pos="9639"/>
        </w:tabs>
        <w:spacing w:after="0" w:line="240" w:lineRule="auto"/>
        <w:jc w:val="both"/>
        <w:rPr>
          <w:rFonts w:ascii="Arial" w:hAnsi="Arial" w:cs="Arial"/>
          <w:sz w:val="20"/>
          <w:szCs w:val="20"/>
          <w:highlight w:val="yellow"/>
        </w:rPr>
      </w:pPr>
    </w:p>
    <w:p w14:paraId="05AD95C0" w14:textId="77777777" w:rsidR="00642FAC" w:rsidRPr="001A399A" w:rsidRDefault="00642FAC" w:rsidP="001A399A">
      <w:pPr>
        <w:tabs>
          <w:tab w:val="left" w:leader="underscore" w:pos="9639"/>
        </w:tabs>
        <w:spacing w:after="0" w:line="240" w:lineRule="auto"/>
        <w:jc w:val="both"/>
        <w:rPr>
          <w:rFonts w:ascii="Arial" w:hAnsi="Arial" w:cs="Arial"/>
          <w:sz w:val="20"/>
          <w:szCs w:val="20"/>
          <w:highlight w:val="yellow"/>
        </w:rPr>
      </w:pPr>
    </w:p>
    <w:p w14:paraId="6F56985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Proyección de la recaudación e ingresos en el mediano plazo:</w:t>
      </w:r>
    </w:p>
    <w:p w14:paraId="681E280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67F2EA50"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Style w:val="Tablaconcuadrcula"/>
        <w:tblW w:w="104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7"/>
        <w:gridCol w:w="1737"/>
        <w:gridCol w:w="1737"/>
        <w:gridCol w:w="1737"/>
        <w:gridCol w:w="1737"/>
        <w:gridCol w:w="1737"/>
      </w:tblGrid>
      <w:tr w:rsidR="00A12186" w:rsidRPr="00A12186" w14:paraId="11CB8FA1" w14:textId="77777777" w:rsidTr="00A12186">
        <w:trPr>
          <w:trHeight w:val="414"/>
          <w:jc w:val="center"/>
        </w:trPr>
        <w:tc>
          <w:tcPr>
            <w:tcW w:w="1737" w:type="dxa"/>
            <w:vAlign w:val="bottom"/>
          </w:tcPr>
          <w:p w14:paraId="6D13E15E" w14:textId="77777777" w:rsidR="00642FAC" w:rsidRPr="00A12186" w:rsidRDefault="00642FAC" w:rsidP="001A399A">
            <w:pPr>
              <w:tabs>
                <w:tab w:val="left" w:leader="underscore" w:pos="9639"/>
              </w:tabs>
              <w:spacing w:after="0" w:line="240" w:lineRule="auto"/>
              <w:jc w:val="both"/>
              <w:rPr>
                <w:rFonts w:ascii="Arial" w:hAnsi="Arial" w:cs="Arial"/>
                <w:b/>
                <w:bCs/>
                <w:sz w:val="18"/>
                <w:szCs w:val="18"/>
              </w:rPr>
            </w:pPr>
            <w:r w:rsidRPr="00A12186">
              <w:rPr>
                <w:rFonts w:ascii="Arial" w:hAnsi="Arial" w:cs="Arial"/>
                <w:b/>
                <w:bCs/>
                <w:sz w:val="18"/>
                <w:szCs w:val="18"/>
              </w:rPr>
              <w:t>Rubro</w:t>
            </w:r>
          </w:p>
        </w:tc>
        <w:tc>
          <w:tcPr>
            <w:tcW w:w="1737" w:type="dxa"/>
            <w:vAlign w:val="bottom"/>
          </w:tcPr>
          <w:p w14:paraId="2EB9B8FA"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2026</w:t>
            </w:r>
          </w:p>
        </w:tc>
        <w:tc>
          <w:tcPr>
            <w:tcW w:w="1737" w:type="dxa"/>
            <w:vAlign w:val="bottom"/>
          </w:tcPr>
          <w:p w14:paraId="25FA22F7"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2027</w:t>
            </w:r>
          </w:p>
        </w:tc>
        <w:tc>
          <w:tcPr>
            <w:tcW w:w="1737" w:type="dxa"/>
            <w:vAlign w:val="bottom"/>
          </w:tcPr>
          <w:p w14:paraId="081C36E6"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2028</w:t>
            </w:r>
          </w:p>
        </w:tc>
        <w:tc>
          <w:tcPr>
            <w:tcW w:w="1737" w:type="dxa"/>
            <w:vAlign w:val="bottom"/>
          </w:tcPr>
          <w:p w14:paraId="3D72CEE0"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2029</w:t>
            </w:r>
          </w:p>
        </w:tc>
        <w:tc>
          <w:tcPr>
            <w:tcW w:w="1737" w:type="dxa"/>
            <w:vAlign w:val="bottom"/>
          </w:tcPr>
          <w:p w14:paraId="78773F7D" w14:textId="77777777" w:rsidR="00642FAC" w:rsidRPr="00A12186" w:rsidRDefault="00642FAC" w:rsidP="001A399A">
            <w:pPr>
              <w:tabs>
                <w:tab w:val="left" w:pos="36"/>
                <w:tab w:val="decimal" w:pos="1170"/>
              </w:tabs>
              <w:spacing w:after="0" w:line="240" w:lineRule="auto"/>
              <w:ind w:left="36" w:right="37"/>
              <w:jc w:val="both"/>
              <w:rPr>
                <w:rFonts w:ascii="Arial" w:hAnsi="Arial" w:cs="Arial"/>
                <w:b/>
                <w:bCs/>
                <w:sz w:val="18"/>
                <w:szCs w:val="18"/>
              </w:rPr>
            </w:pPr>
            <w:r w:rsidRPr="00A12186">
              <w:rPr>
                <w:rFonts w:ascii="Arial" w:hAnsi="Arial" w:cs="Arial"/>
                <w:b/>
                <w:bCs/>
                <w:sz w:val="18"/>
                <w:szCs w:val="18"/>
              </w:rPr>
              <w:t>2030</w:t>
            </w:r>
          </w:p>
        </w:tc>
      </w:tr>
      <w:tr w:rsidR="00A12186" w:rsidRPr="00A12186" w14:paraId="61D00768" w14:textId="77777777" w:rsidTr="00A12186">
        <w:trPr>
          <w:trHeight w:val="414"/>
          <w:jc w:val="center"/>
        </w:trPr>
        <w:tc>
          <w:tcPr>
            <w:tcW w:w="1737" w:type="dxa"/>
            <w:vAlign w:val="bottom"/>
          </w:tcPr>
          <w:p w14:paraId="4951D8A6" w14:textId="77777777" w:rsidR="00642FAC" w:rsidRPr="00A12186" w:rsidRDefault="00642FAC" w:rsidP="001A399A">
            <w:pPr>
              <w:tabs>
                <w:tab w:val="left" w:leader="underscore" w:pos="9639"/>
              </w:tabs>
              <w:spacing w:after="0" w:line="240" w:lineRule="auto"/>
              <w:jc w:val="both"/>
              <w:rPr>
                <w:rFonts w:ascii="Arial" w:hAnsi="Arial" w:cs="Arial"/>
                <w:sz w:val="18"/>
                <w:szCs w:val="18"/>
              </w:rPr>
            </w:pPr>
            <w:r w:rsidRPr="00A12186">
              <w:rPr>
                <w:rFonts w:ascii="Arial" w:hAnsi="Arial" w:cs="Arial"/>
                <w:color w:val="000000"/>
                <w:sz w:val="18"/>
                <w:szCs w:val="18"/>
              </w:rPr>
              <w:t>Ingresos Estatales</w:t>
            </w:r>
          </w:p>
        </w:tc>
        <w:tc>
          <w:tcPr>
            <w:tcW w:w="1737" w:type="dxa"/>
            <w:vAlign w:val="center"/>
          </w:tcPr>
          <w:p w14:paraId="63F124E1" w14:textId="77777777" w:rsidR="00642FAC" w:rsidRPr="00A12186" w:rsidRDefault="00642FAC" w:rsidP="00A12186">
            <w:pPr>
              <w:tabs>
                <w:tab w:val="left" w:pos="36"/>
                <w:tab w:val="decimal" w:pos="1170"/>
              </w:tabs>
              <w:spacing w:after="0" w:line="240" w:lineRule="auto"/>
              <w:ind w:left="36" w:right="37"/>
              <w:jc w:val="right"/>
              <w:rPr>
                <w:rFonts w:ascii="Arial" w:hAnsi="Arial" w:cs="Arial"/>
                <w:sz w:val="18"/>
                <w:szCs w:val="18"/>
              </w:rPr>
            </w:pPr>
          </w:p>
          <w:p w14:paraId="3520BE01"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rPr>
            </w:pPr>
            <w:r w:rsidRPr="00A12186">
              <w:rPr>
                <w:rFonts w:ascii="Arial" w:hAnsi="Arial" w:cs="Arial"/>
                <w:sz w:val="18"/>
                <w:szCs w:val="18"/>
              </w:rPr>
              <w:t xml:space="preserve">$2,006,089,901 </w:t>
            </w:r>
          </w:p>
        </w:tc>
        <w:tc>
          <w:tcPr>
            <w:tcW w:w="1737" w:type="dxa"/>
            <w:vAlign w:val="center"/>
          </w:tcPr>
          <w:p w14:paraId="44260647" w14:textId="77777777" w:rsidR="00642FAC" w:rsidRPr="00A12186" w:rsidRDefault="00642FAC" w:rsidP="00A12186">
            <w:pPr>
              <w:tabs>
                <w:tab w:val="left" w:pos="36"/>
                <w:tab w:val="decimal" w:pos="1170"/>
              </w:tabs>
              <w:spacing w:after="0" w:line="240" w:lineRule="auto"/>
              <w:ind w:left="36" w:right="37"/>
              <w:jc w:val="right"/>
              <w:rPr>
                <w:rFonts w:ascii="Arial" w:hAnsi="Arial" w:cs="Arial"/>
                <w:sz w:val="18"/>
                <w:szCs w:val="18"/>
              </w:rPr>
            </w:pPr>
          </w:p>
          <w:p w14:paraId="01CBAA70"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sz w:val="18"/>
                <w:szCs w:val="18"/>
              </w:rPr>
              <w:t>$2,086,335,227</w:t>
            </w:r>
          </w:p>
        </w:tc>
        <w:tc>
          <w:tcPr>
            <w:tcW w:w="1737" w:type="dxa"/>
            <w:vAlign w:val="center"/>
          </w:tcPr>
          <w:p w14:paraId="7D563997" w14:textId="77777777" w:rsidR="00642FAC" w:rsidRPr="00A12186" w:rsidRDefault="00642FAC" w:rsidP="00A12186">
            <w:pPr>
              <w:tabs>
                <w:tab w:val="left" w:pos="36"/>
                <w:tab w:val="decimal" w:pos="1170"/>
              </w:tabs>
              <w:spacing w:after="0" w:line="240" w:lineRule="auto"/>
              <w:ind w:left="36" w:right="37"/>
              <w:jc w:val="right"/>
              <w:rPr>
                <w:rFonts w:ascii="Arial" w:hAnsi="Arial" w:cs="Arial"/>
                <w:sz w:val="18"/>
                <w:szCs w:val="18"/>
              </w:rPr>
            </w:pPr>
          </w:p>
          <w:p w14:paraId="6FEC4AD1"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sz w:val="18"/>
                <w:szCs w:val="18"/>
              </w:rPr>
              <w:t>$2,169,788,637</w:t>
            </w:r>
          </w:p>
        </w:tc>
        <w:tc>
          <w:tcPr>
            <w:tcW w:w="1737" w:type="dxa"/>
            <w:vAlign w:val="center"/>
          </w:tcPr>
          <w:p w14:paraId="56FF3986" w14:textId="77777777" w:rsidR="00642FAC" w:rsidRPr="00A12186" w:rsidRDefault="00642FAC" w:rsidP="00A12186">
            <w:pPr>
              <w:tabs>
                <w:tab w:val="left" w:pos="36"/>
                <w:tab w:val="decimal" w:pos="1170"/>
              </w:tabs>
              <w:spacing w:after="0" w:line="240" w:lineRule="auto"/>
              <w:ind w:left="36" w:right="37"/>
              <w:jc w:val="right"/>
              <w:rPr>
                <w:rFonts w:ascii="Arial" w:hAnsi="Arial" w:cs="Arial"/>
                <w:sz w:val="18"/>
                <w:szCs w:val="18"/>
              </w:rPr>
            </w:pPr>
          </w:p>
          <w:p w14:paraId="184E9E6D"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sz w:val="18"/>
                <w:szCs w:val="18"/>
              </w:rPr>
              <w:t xml:space="preserve">$2,256,580,182 </w:t>
            </w:r>
          </w:p>
        </w:tc>
        <w:tc>
          <w:tcPr>
            <w:tcW w:w="1737" w:type="dxa"/>
            <w:vAlign w:val="center"/>
          </w:tcPr>
          <w:p w14:paraId="1B207FC9" w14:textId="77777777" w:rsidR="00642FAC" w:rsidRPr="00A12186" w:rsidRDefault="00642FAC" w:rsidP="00A12186">
            <w:pPr>
              <w:tabs>
                <w:tab w:val="left" w:pos="36"/>
                <w:tab w:val="decimal" w:pos="1170"/>
              </w:tabs>
              <w:spacing w:after="0" w:line="240" w:lineRule="auto"/>
              <w:ind w:left="36" w:right="37"/>
              <w:jc w:val="right"/>
              <w:rPr>
                <w:rFonts w:ascii="Arial" w:hAnsi="Arial" w:cs="Arial"/>
                <w:sz w:val="18"/>
                <w:szCs w:val="18"/>
              </w:rPr>
            </w:pPr>
          </w:p>
          <w:p w14:paraId="48D300BC"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rPr>
            </w:pPr>
            <w:r w:rsidRPr="00A12186">
              <w:rPr>
                <w:rFonts w:ascii="Arial" w:hAnsi="Arial" w:cs="Arial"/>
                <w:sz w:val="18"/>
                <w:szCs w:val="18"/>
              </w:rPr>
              <w:t xml:space="preserve">$2,346,843,389 </w:t>
            </w:r>
          </w:p>
        </w:tc>
      </w:tr>
      <w:tr w:rsidR="00A12186" w:rsidRPr="00A12186" w14:paraId="3A6FF6F8" w14:textId="77777777" w:rsidTr="00A12186">
        <w:trPr>
          <w:trHeight w:val="414"/>
          <w:jc w:val="center"/>
        </w:trPr>
        <w:tc>
          <w:tcPr>
            <w:tcW w:w="1737" w:type="dxa"/>
            <w:vAlign w:val="bottom"/>
          </w:tcPr>
          <w:p w14:paraId="04B91C31" w14:textId="77777777" w:rsidR="00642FAC" w:rsidRPr="00A12186" w:rsidRDefault="00642FAC" w:rsidP="001A399A">
            <w:pPr>
              <w:tabs>
                <w:tab w:val="left" w:leader="underscore" w:pos="9639"/>
              </w:tabs>
              <w:spacing w:after="0" w:line="240" w:lineRule="auto"/>
              <w:jc w:val="both"/>
              <w:rPr>
                <w:rFonts w:ascii="Arial" w:hAnsi="Arial" w:cs="Arial"/>
                <w:sz w:val="18"/>
                <w:szCs w:val="18"/>
              </w:rPr>
            </w:pPr>
            <w:r w:rsidRPr="00A12186">
              <w:rPr>
                <w:rFonts w:ascii="Arial" w:hAnsi="Arial" w:cs="Arial"/>
                <w:color w:val="000000"/>
                <w:sz w:val="18"/>
                <w:szCs w:val="18"/>
              </w:rPr>
              <w:t>Ingresos Federales</w:t>
            </w:r>
          </w:p>
        </w:tc>
        <w:tc>
          <w:tcPr>
            <w:tcW w:w="1737" w:type="dxa"/>
            <w:vAlign w:val="center"/>
          </w:tcPr>
          <w:p w14:paraId="4C7B3D7F"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sz w:val="18"/>
                <w:szCs w:val="18"/>
                <w:u w:val="single"/>
              </w:rPr>
              <w:t>2,517,995,434</w:t>
            </w:r>
          </w:p>
        </w:tc>
        <w:tc>
          <w:tcPr>
            <w:tcW w:w="1737" w:type="dxa"/>
            <w:vAlign w:val="center"/>
          </w:tcPr>
          <w:p w14:paraId="2EF305BB"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u w:val="single"/>
              </w:rPr>
            </w:pPr>
            <w:r w:rsidRPr="00A12186">
              <w:rPr>
                <w:rFonts w:ascii="Arial" w:hAnsi="Arial" w:cs="Arial"/>
                <w:sz w:val="18"/>
                <w:szCs w:val="18"/>
                <w:u w:val="single"/>
              </w:rPr>
              <w:t>2,618,715,252</w:t>
            </w:r>
          </w:p>
        </w:tc>
        <w:tc>
          <w:tcPr>
            <w:tcW w:w="1737" w:type="dxa"/>
            <w:vAlign w:val="center"/>
          </w:tcPr>
          <w:p w14:paraId="3C2FB38C" w14:textId="77777777" w:rsidR="00642FAC" w:rsidRPr="00A12186" w:rsidRDefault="00642FAC" w:rsidP="00A12186">
            <w:pPr>
              <w:tabs>
                <w:tab w:val="left" w:pos="36"/>
                <w:tab w:val="decimal" w:pos="1170"/>
              </w:tabs>
              <w:spacing w:after="0" w:line="240" w:lineRule="auto"/>
              <w:ind w:right="37"/>
              <w:jc w:val="right"/>
              <w:rPr>
                <w:rFonts w:ascii="Arial" w:hAnsi="Arial" w:cs="Arial"/>
                <w:sz w:val="18"/>
                <w:szCs w:val="18"/>
                <w:u w:val="single"/>
              </w:rPr>
            </w:pPr>
            <w:r w:rsidRPr="00A12186">
              <w:rPr>
                <w:rFonts w:ascii="Arial" w:hAnsi="Arial" w:cs="Arial"/>
                <w:sz w:val="18"/>
                <w:szCs w:val="18"/>
                <w:u w:val="single"/>
              </w:rPr>
              <w:t>2,723,463,862</w:t>
            </w:r>
          </w:p>
        </w:tc>
        <w:tc>
          <w:tcPr>
            <w:tcW w:w="1737" w:type="dxa"/>
            <w:vAlign w:val="center"/>
          </w:tcPr>
          <w:p w14:paraId="0D07C8D2"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sz w:val="18"/>
                <w:szCs w:val="18"/>
                <w:u w:val="single"/>
              </w:rPr>
              <w:t>2,832,402,416</w:t>
            </w:r>
          </w:p>
        </w:tc>
        <w:tc>
          <w:tcPr>
            <w:tcW w:w="1737" w:type="dxa"/>
            <w:vAlign w:val="center"/>
          </w:tcPr>
          <w:p w14:paraId="7EAFD449"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single"/>
              </w:rPr>
            </w:pPr>
            <w:r w:rsidRPr="00A12186">
              <w:rPr>
                <w:rFonts w:ascii="Arial" w:hAnsi="Arial" w:cs="Arial"/>
                <w:sz w:val="18"/>
                <w:szCs w:val="18"/>
                <w:u w:val="single"/>
              </w:rPr>
              <w:t>2,945,698,513</w:t>
            </w:r>
          </w:p>
        </w:tc>
      </w:tr>
      <w:tr w:rsidR="00A12186" w:rsidRPr="00A12186" w14:paraId="79616B5F" w14:textId="77777777" w:rsidTr="00A12186">
        <w:trPr>
          <w:trHeight w:val="239"/>
          <w:jc w:val="center"/>
        </w:trPr>
        <w:tc>
          <w:tcPr>
            <w:tcW w:w="1737" w:type="dxa"/>
          </w:tcPr>
          <w:p w14:paraId="74626B12" w14:textId="77777777" w:rsidR="00642FAC" w:rsidRPr="00A12186" w:rsidRDefault="00642FAC" w:rsidP="001A399A">
            <w:pPr>
              <w:tabs>
                <w:tab w:val="left" w:leader="underscore" w:pos="9639"/>
              </w:tabs>
              <w:spacing w:after="0" w:line="240" w:lineRule="auto"/>
              <w:jc w:val="both"/>
              <w:rPr>
                <w:rFonts w:ascii="Arial" w:hAnsi="Arial" w:cs="Arial"/>
                <w:sz w:val="18"/>
                <w:szCs w:val="18"/>
              </w:rPr>
            </w:pPr>
          </w:p>
        </w:tc>
        <w:tc>
          <w:tcPr>
            <w:tcW w:w="1737" w:type="dxa"/>
            <w:vAlign w:val="center"/>
          </w:tcPr>
          <w:p w14:paraId="7EB28FB7" w14:textId="77777777" w:rsidR="00642FAC" w:rsidRPr="00A12186" w:rsidRDefault="00642FAC" w:rsidP="00A12186">
            <w:pPr>
              <w:tabs>
                <w:tab w:val="left" w:pos="36"/>
                <w:tab w:val="decimal" w:pos="1170"/>
              </w:tabs>
              <w:spacing w:after="0" w:line="240" w:lineRule="auto"/>
              <w:ind w:right="37"/>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r>
            <w:r w:rsidRPr="00A12186">
              <w:rPr>
                <w:rFonts w:ascii="Arial" w:hAnsi="Arial" w:cs="Arial"/>
                <w:sz w:val="18"/>
                <w:szCs w:val="18"/>
                <w:u w:val="double"/>
              </w:rPr>
              <w:t>4,524,086,999</w:t>
            </w:r>
          </w:p>
        </w:tc>
        <w:tc>
          <w:tcPr>
            <w:tcW w:w="1737" w:type="dxa"/>
            <w:vAlign w:val="center"/>
          </w:tcPr>
          <w:p w14:paraId="23405B30"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r>
            <w:r w:rsidRPr="00A12186">
              <w:rPr>
                <w:rFonts w:ascii="Arial" w:hAnsi="Arial" w:cs="Arial"/>
                <w:sz w:val="18"/>
                <w:szCs w:val="18"/>
                <w:u w:val="double"/>
              </w:rPr>
              <w:t>4,705,050,479</w:t>
            </w:r>
          </w:p>
        </w:tc>
        <w:tc>
          <w:tcPr>
            <w:tcW w:w="1737" w:type="dxa"/>
            <w:vAlign w:val="center"/>
          </w:tcPr>
          <w:p w14:paraId="76F71614"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r>
            <w:r w:rsidRPr="00A12186">
              <w:rPr>
                <w:rFonts w:ascii="Arial" w:hAnsi="Arial" w:cs="Arial"/>
                <w:sz w:val="18"/>
                <w:szCs w:val="18"/>
                <w:u w:val="double"/>
              </w:rPr>
              <w:t>4,893,252,499</w:t>
            </w:r>
          </w:p>
        </w:tc>
        <w:tc>
          <w:tcPr>
            <w:tcW w:w="1737" w:type="dxa"/>
            <w:vAlign w:val="center"/>
          </w:tcPr>
          <w:p w14:paraId="0016EEB6"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r>
            <w:r w:rsidRPr="00A12186">
              <w:rPr>
                <w:rFonts w:ascii="Arial" w:hAnsi="Arial" w:cs="Arial"/>
                <w:sz w:val="18"/>
                <w:szCs w:val="18"/>
                <w:u w:val="double"/>
              </w:rPr>
              <w:t>5,088,982,598</w:t>
            </w:r>
          </w:p>
        </w:tc>
        <w:tc>
          <w:tcPr>
            <w:tcW w:w="1737" w:type="dxa"/>
            <w:vAlign w:val="center"/>
          </w:tcPr>
          <w:p w14:paraId="0AD06FE5" w14:textId="77777777" w:rsidR="00642FAC" w:rsidRPr="00A12186" w:rsidRDefault="00642FAC" w:rsidP="00A12186">
            <w:pPr>
              <w:tabs>
                <w:tab w:val="left" w:pos="0"/>
                <w:tab w:val="decimal" w:pos="1114"/>
                <w:tab w:val="left" w:leader="underscore" w:pos="9639"/>
              </w:tabs>
              <w:spacing w:after="0" w:line="240" w:lineRule="auto"/>
              <w:jc w:val="right"/>
              <w:rPr>
                <w:rFonts w:ascii="Arial" w:hAnsi="Arial" w:cs="Arial"/>
                <w:color w:val="000000"/>
                <w:sz w:val="18"/>
                <w:szCs w:val="18"/>
                <w:u w:val="double"/>
              </w:rPr>
            </w:pPr>
            <w:r w:rsidRPr="00A12186">
              <w:rPr>
                <w:rFonts w:ascii="Arial" w:hAnsi="Arial" w:cs="Arial"/>
                <w:color w:val="000000"/>
                <w:sz w:val="18"/>
                <w:szCs w:val="18"/>
                <w:u w:val="double"/>
              </w:rPr>
              <w:t>$</w:t>
            </w:r>
            <w:r w:rsidRPr="00A12186">
              <w:rPr>
                <w:rFonts w:ascii="Arial" w:hAnsi="Arial" w:cs="Arial"/>
                <w:color w:val="000000"/>
                <w:sz w:val="18"/>
                <w:szCs w:val="18"/>
                <w:u w:val="double"/>
              </w:rPr>
              <w:tab/>
            </w:r>
            <w:r w:rsidRPr="00A12186">
              <w:rPr>
                <w:rFonts w:ascii="Arial" w:hAnsi="Arial" w:cs="Arial"/>
                <w:sz w:val="18"/>
                <w:szCs w:val="18"/>
                <w:u w:val="double"/>
              </w:rPr>
              <w:t>5,292,541,902</w:t>
            </w:r>
          </w:p>
        </w:tc>
      </w:tr>
    </w:tbl>
    <w:p w14:paraId="29611870" w14:textId="77777777" w:rsidR="00642FAC" w:rsidRPr="001A399A" w:rsidRDefault="00642FAC" w:rsidP="001A399A">
      <w:pPr>
        <w:spacing w:after="0" w:line="240" w:lineRule="auto"/>
        <w:jc w:val="both"/>
        <w:rPr>
          <w:rFonts w:ascii="Arial" w:hAnsi="Arial" w:cs="Arial"/>
          <w:sz w:val="20"/>
          <w:szCs w:val="20"/>
        </w:rPr>
      </w:pPr>
    </w:p>
    <w:p w14:paraId="0CF34AF2" w14:textId="77777777" w:rsidR="00642FAC" w:rsidRPr="001A399A" w:rsidRDefault="00642FAC" w:rsidP="001A399A">
      <w:pPr>
        <w:spacing w:after="0" w:line="240" w:lineRule="auto"/>
        <w:jc w:val="both"/>
        <w:rPr>
          <w:rFonts w:ascii="Arial" w:hAnsi="Arial" w:cs="Arial"/>
          <w:sz w:val="20"/>
          <w:szCs w:val="20"/>
        </w:rPr>
      </w:pPr>
    </w:p>
    <w:p w14:paraId="6C8ED99D"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13" w:name="_Toc161472875"/>
      <w:r w:rsidRPr="001A399A">
        <w:rPr>
          <w:rFonts w:ascii="Arial" w:hAnsi="Arial" w:cs="Arial"/>
          <w:b/>
          <w:color w:val="auto"/>
          <w:sz w:val="20"/>
          <w:szCs w:val="20"/>
        </w:rPr>
        <w:t>10. Información sobre la Deuda y el Reporte Analítico de la Deuda:</w:t>
      </w:r>
      <w:bookmarkEnd w:id="13"/>
    </w:p>
    <w:p w14:paraId="3F3F429D"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8EB4E22"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Utilizar al menos los siguientes indicadores: deuda respecto al PIB y deuda respecto a la recaudación tomando, como mínimo, un período igual o menor a 5 años: No aplica, debido a que la Universidad no tiene contratada deuda</w:t>
      </w:r>
    </w:p>
    <w:p w14:paraId="76216B0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B13F555"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 No aplica, debido a que la Universidad no tiene contratada deuda</w:t>
      </w:r>
    </w:p>
    <w:p w14:paraId="1487F36F" w14:textId="77777777" w:rsidR="00B955C0" w:rsidRPr="00B955C0" w:rsidRDefault="00B955C0" w:rsidP="00B955C0">
      <w:bookmarkStart w:id="14" w:name="_Toc161472876"/>
    </w:p>
    <w:p w14:paraId="6F3D7AC9" w14:textId="77777777"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11. Calificaciones otorgadas:</w:t>
      </w:r>
      <w:bookmarkEnd w:id="14"/>
    </w:p>
    <w:p w14:paraId="249C720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20D0081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Informar, tanto del ente público como cualquier transacción realizada, que haya sido sujeta a una calificación crediticia:</w:t>
      </w:r>
    </w:p>
    <w:p w14:paraId="67D3D42A"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No aplica, debido a que la Universidad no tiene contratada deuda</w:t>
      </w:r>
      <w:bookmarkStart w:id="15" w:name="_Toc161472877"/>
      <w:r w:rsidRPr="001A399A">
        <w:rPr>
          <w:rFonts w:ascii="Arial" w:hAnsi="Arial" w:cs="Arial"/>
          <w:sz w:val="20"/>
          <w:szCs w:val="20"/>
        </w:rPr>
        <w:t>.</w:t>
      </w:r>
    </w:p>
    <w:p w14:paraId="447F3FBA" w14:textId="77777777" w:rsidR="00642FAC" w:rsidRDefault="00642FAC" w:rsidP="001A399A">
      <w:pPr>
        <w:spacing w:after="0" w:line="240" w:lineRule="auto"/>
        <w:jc w:val="both"/>
        <w:rPr>
          <w:rFonts w:ascii="Arial" w:hAnsi="Arial" w:cs="Arial"/>
          <w:sz w:val="20"/>
          <w:szCs w:val="20"/>
        </w:rPr>
      </w:pPr>
    </w:p>
    <w:p w14:paraId="31A8FDE6" w14:textId="77777777" w:rsidR="00B955C0" w:rsidRPr="001A399A" w:rsidRDefault="00B955C0" w:rsidP="001A399A">
      <w:pPr>
        <w:spacing w:after="0" w:line="240" w:lineRule="auto"/>
        <w:jc w:val="both"/>
        <w:rPr>
          <w:rFonts w:ascii="Arial" w:hAnsi="Arial" w:cs="Arial"/>
          <w:sz w:val="20"/>
          <w:szCs w:val="20"/>
        </w:rPr>
      </w:pPr>
    </w:p>
    <w:p w14:paraId="60BC8EB2" w14:textId="77777777"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12. Proceso de Mejora:</w:t>
      </w:r>
      <w:bookmarkEnd w:id="15"/>
    </w:p>
    <w:p w14:paraId="3CBB317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74662E52"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informará de:</w:t>
      </w:r>
    </w:p>
    <w:p w14:paraId="0F0BFC8C"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9E44AF8"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b/>
          <w:sz w:val="20"/>
          <w:szCs w:val="20"/>
        </w:rPr>
        <w:t>a)</w:t>
      </w:r>
      <w:r w:rsidRPr="001A399A">
        <w:rPr>
          <w:rFonts w:ascii="Arial" w:hAnsi="Arial" w:cs="Arial"/>
          <w:sz w:val="20"/>
          <w:szCs w:val="20"/>
        </w:rPr>
        <w:t xml:space="preserve"> Principales Políticas de control interno:</w:t>
      </w:r>
    </w:p>
    <w:p w14:paraId="261CEA35"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E51AC20"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“Políticas y Lineamientos Generales de Racionalidad, Austeridad y Disciplina Presupuestal de la Universidad de Guanajuato, para el ejercicio fiscal del año 2025”</w:t>
      </w:r>
    </w:p>
    <w:p w14:paraId="5E451C4B" w14:textId="77777777" w:rsidR="00642FAC" w:rsidRPr="001A399A" w:rsidRDefault="00642FAC" w:rsidP="001A399A">
      <w:pPr>
        <w:spacing w:after="0" w:line="240" w:lineRule="auto"/>
        <w:jc w:val="both"/>
        <w:rPr>
          <w:rFonts w:ascii="Arial" w:hAnsi="Arial" w:cs="Arial"/>
          <w:b/>
          <w:sz w:val="20"/>
          <w:szCs w:val="20"/>
        </w:rPr>
      </w:pPr>
    </w:p>
    <w:p w14:paraId="759F23D9" w14:textId="41318B8D" w:rsidR="00642FAC" w:rsidRDefault="00642FAC" w:rsidP="001A399A">
      <w:pPr>
        <w:spacing w:after="0" w:line="240" w:lineRule="auto"/>
        <w:jc w:val="both"/>
        <w:rPr>
          <w:rFonts w:ascii="Arial" w:hAnsi="Arial" w:cs="Arial"/>
          <w:sz w:val="20"/>
          <w:szCs w:val="20"/>
        </w:rPr>
      </w:pPr>
      <w:r w:rsidRPr="001A399A">
        <w:rPr>
          <w:rFonts w:ascii="Arial" w:hAnsi="Arial" w:cs="Arial"/>
          <w:b/>
          <w:sz w:val="20"/>
          <w:szCs w:val="20"/>
        </w:rPr>
        <w:t>b)</w:t>
      </w:r>
      <w:r w:rsidRPr="001A399A">
        <w:rPr>
          <w:rFonts w:ascii="Arial" w:hAnsi="Arial" w:cs="Arial"/>
          <w:sz w:val="20"/>
          <w:szCs w:val="20"/>
        </w:rPr>
        <w:t xml:space="preserve"> Medidas de desempeño financiero, metas y alcance: No aplica para el periodo</w:t>
      </w:r>
    </w:p>
    <w:p w14:paraId="01DEA7FE" w14:textId="77777777" w:rsidR="00B955C0" w:rsidRPr="001A399A" w:rsidRDefault="00B955C0" w:rsidP="001A399A">
      <w:pPr>
        <w:spacing w:after="0" w:line="240" w:lineRule="auto"/>
        <w:jc w:val="both"/>
        <w:rPr>
          <w:rFonts w:ascii="Arial" w:hAnsi="Arial" w:cs="Arial"/>
          <w:sz w:val="20"/>
          <w:szCs w:val="20"/>
        </w:rPr>
      </w:pPr>
    </w:p>
    <w:p w14:paraId="752F3CEE"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16" w:name="_Toc161472878"/>
      <w:r w:rsidRPr="001A399A">
        <w:rPr>
          <w:rFonts w:ascii="Arial" w:hAnsi="Arial" w:cs="Arial"/>
          <w:b/>
          <w:color w:val="auto"/>
          <w:sz w:val="20"/>
          <w:szCs w:val="20"/>
        </w:rPr>
        <w:t>13. Información por Segmentos:</w:t>
      </w:r>
      <w:bookmarkEnd w:id="16"/>
    </w:p>
    <w:p w14:paraId="3041757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5A442B93" w14:textId="77777777" w:rsidR="00642FAC"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No aplica, debido a que la Universidad presta preponderantemente servicios educativos.</w:t>
      </w:r>
    </w:p>
    <w:p w14:paraId="04487BF9"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6BC8C391"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17" w:name="_Toc161472879"/>
      <w:r w:rsidRPr="001A399A">
        <w:rPr>
          <w:rFonts w:ascii="Arial" w:hAnsi="Arial" w:cs="Arial"/>
          <w:b/>
          <w:color w:val="auto"/>
          <w:sz w:val="20"/>
          <w:szCs w:val="20"/>
        </w:rPr>
        <w:t>14. Eventos Posteriores al Cierre:</w:t>
      </w:r>
      <w:bookmarkEnd w:id="17"/>
    </w:p>
    <w:p w14:paraId="10036FC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32EF8348" w14:textId="77777777" w:rsidR="001E6F4C" w:rsidRDefault="001E6F4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A partir del 1 de enero de 2026, la Universidad de Guanajuato modificó el criterio contable aplicable al registro de los importes acumulados en la cuenta por cobrar derivados de las aportaciones pendientes de las personas trabajadoras, con motivo de la entrada en vigor de las nuevas Políticas de la Red Médica Universitaria.</w:t>
      </w:r>
    </w:p>
    <w:p w14:paraId="583F99B6" w14:textId="77777777" w:rsidR="000748A1" w:rsidRPr="001A399A" w:rsidRDefault="000748A1" w:rsidP="001A399A">
      <w:pPr>
        <w:tabs>
          <w:tab w:val="left" w:leader="underscore" w:pos="9639"/>
        </w:tabs>
        <w:spacing w:after="0" w:line="240" w:lineRule="auto"/>
        <w:jc w:val="both"/>
        <w:rPr>
          <w:rFonts w:ascii="Arial" w:hAnsi="Arial" w:cs="Arial"/>
          <w:sz w:val="20"/>
          <w:szCs w:val="20"/>
        </w:rPr>
      </w:pPr>
    </w:p>
    <w:p w14:paraId="298C239F" w14:textId="77777777" w:rsidR="001E6F4C" w:rsidRPr="001A399A" w:rsidRDefault="001E6F4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Derivado de dicho cambio, los importes que anteriormente se reconocían como cuentas por cobrar serán registrados como ingresos del periodo en el momento contable que corresponda, conforme a lo establecido en las Normas y Metodología para la Determinación de los Momentos Contables de los Ingresos, emitidas por el Consejo Nacional de Armonización Contable, las cuales fueron adoptadas por la Universidad de Guanajuato para el reconocimiento contable de los ingresos desde su entrada en vigor.</w:t>
      </w:r>
    </w:p>
    <w:p w14:paraId="116A775B" w14:textId="3541A8A5" w:rsidR="00040F5E" w:rsidRPr="001A399A" w:rsidRDefault="00040F5E" w:rsidP="001A399A">
      <w:pPr>
        <w:tabs>
          <w:tab w:val="left" w:leader="underscore" w:pos="9639"/>
        </w:tabs>
        <w:spacing w:after="0" w:line="240" w:lineRule="auto"/>
        <w:jc w:val="both"/>
        <w:rPr>
          <w:rFonts w:ascii="Arial" w:hAnsi="Arial" w:cs="Arial"/>
          <w:sz w:val="20"/>
          <w:szCs w:val="20"/>
        </w:rPr>
      </w:pPr>
    </w:p>
    <w:p w14:paraId="6EE45140"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La Universidad de Guanajuato tiene en proceso 212 juicios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785E9957" w14:textId="77777777" w:rsidR="007F35D0" w:rsidRDefault="007F35D0" w:rsidP="001A399A">
      <w:pPr>
        <w:spacing w:after="0" w:line="240" w:lineRule="auto"/>
        <w:jc w:val="both"/>
        <w:rPr>
          <w:rFonts w:ascii="Arial" w:hAnsi="Arial" w:cs="Arial"/>
          <w:sz w:val="20"/>
          <w:szCs w:val="20"/>
        </w:rPr>
      </w:pPr>
    </w:p>
    <w:p w14:paraId="4E74DC80" w14:textId="77777777" w:rsidR="007F35D0" w:rsidRDefault="007F35D0" w:rsidP="001A399A">
      <w:pPr>
        <w:spacing w:after="0" w:line="240" w:lineRule="auto"/>
        <w:jc w:val="both"/>
        <w:rPr>
          <w:rFonts w:ascii="Arial" w:hAnsi="Arial" w:cs="Arial"/>
          <w:sz w:val="20"/>
          <w:szCs w:val="20"/>
        </w:rPr>
      </w:pPr>
    </w:p>
    <w:tbl>
      <w:tblPr>
        <w:tblW w:w="9882" w:type="dxa"/>
        <w:jc w:val="center"/>
        <w:tblCellMar>
          <w:left w:w="70" w:type="dxa"/>
          <w:right w:w="70" w:type="dxa"/>
        </w:tblCellMar>
        <w:tblLook w:val="04A0" w:firstRow="1" w:lastRow="0" w:firstColumn="1" w:lastColumn="0" w:noHBand="0" w:noVBand="1"/>
      </w:tblPr>
      <w:tblGrid>
        <w:gridCol w:w="1204"/>
        <w:gridCol w:w="1511"/>
        <w:gridCol w:w="1345"/>
        <w:gridCol w:w="1584"/>
        <w:gridCol w:w="1728"/>
        <w:gridCol w:w="1156"/>
        <w:gridCol w:w="1354"/>
      </w:tblGrid>
      <w:tr w:rsidR="000748A1" w:rsidRPr="00B955C0" w14:paraId="06FEAD51" w14:textId="77777777" w:rsidTr="000748A1">
        <w:trPr>
          <w:trHeight w:val="2"/>
          <w:tblHeader/>
          <w:jc w:val="center"/>
        </w:trPr>
        <w:tc>
          <w:tcPr>
            <w:tcW w:w="1204" w:type="dxa"/>
            <w:tcBorders>
              <w:top w:val="single" w:sz="4" w:space="0" w:color="auto"/>
              <w:left w:val="single" w:sz="8" w:space="0" w:color="auto"/>
              <w:bottom w:val="single" w:sz="4" w:space="0" w:color="auto"/>
              <w:right w:val="single" w:sz="4" w:space="0" w:color="auto"/>
            </w:tcBorders>
            <w:vAlign w:val="center"/>
            <w:hideMark/>
          </w:tcPr>
          <w:p w14:paraId="1FB6E53D"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Número de</w:t>
            </w:r>
          </w:p>
          <w:p w14:paraId="468527A8"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Expediente</w:t>
            </w:r>
          </w:p>
        </w:tc>
        <w:tc>
          <w:tcPr>
            <w:tcW w:w="1511" w:type="dxa"/>
            <w:tcBorders>
              <w:top w:val="single" w:sz="4" w:space="0" w:color="auto"/>
              <w:left w:val="nil"/>
              <w:bottom w:val="single" w:sz="4" w:space="0" w:color="auto"/>
              <w:right w:val="single" w:sz="4" w:space="0" w:color="auto"/>
            </w:tcBorders>
            <w:vAlign w:val="center"/>
            <w:hideMark/>
          </w:tcPr>
          <w:p w14:paraId="7D4F3158"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Tipo de Juicio</w:t>
            </w:r>
          </w:p>
        </w:tc>
        <w:tc>
          <w:tcPr>
            <w:tcW w:w="1345" w:type="dxa"/>
            <w:tcBorders>
              <w:top w:val="single" w:sz="4" w:space="0" w:color="auto"/>
              <w:left w:val="nil"/>
              <w:bottom w:val="single" w:sz="4" w:space="0" w:color="auto"/>
              <w:right w:val="single" w:sz="4" w:space="0" w:color="auto"/>
            </w:tcBorders>
            <w:vAlign w:val="center"/>
            <w:hideMark/>
          </w:tcPr>
          <w:p w14:paraId="6224EA96"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Tipo de Acción</w:t>
            </w:r>
          </w:p>
        </w:tc>
        <w:tc>
          <w:tcPr>
            <w:tcW w:w="1584" w:type="dxa"/>
            <w:tcBorders>
              <w:top w:val="single" w:sz="4" w:space="0" w:color="auto"/>
              <w:left w:val="nil"/>
              <w:bottom w:val="single" w:sz="4" w:space="0" w:color="auto"/>
              <w:right w:val="single" w:sz="4" w:space="0" w:color="auto"/>
            </w:tcBorders>
            <w:vAlign w:val="center"/>
            <w:hideMark/>
          </w:tcPr>
          <w:p w14:paraId="3D4872CE"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Partes que Intervienen</w:t>
            </w:r>
          </w:p>
        </w:tc>
        <w:tc>
          <w:tcPr>
            <w:tcW w:w="1728" w:type="dxa"/>
            <w:tcBorders>
              <w:top w:val="single" w:sz="4" w:space="0" w:color="auto"/>
              <w:left w:val="nil"/>
              <w:bottom w:val="single" w:sz="4" w:space="0" w:color="auto"/>
              <w:right w:val="single" w:sz="4" w:space="0" w:color="auto"/>
            </w:tcBorders>
            <w:vAlign w:val="center"/>
            <w:hideMark/>
          </w:tcPr>
          <w:p w14:paraId="1F691B69"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Estatus del juicio</w:t>
            </w:r>
          </w:p>
        </w:tc>
        <w:tc>
          <w:tcPr>
            <w:tcW w:w="1156" w:type="dxa"/>
            <w:tcBorders>
              <w:top w:val="single" w:sz="4" w:space="0" w:color="auto"/>
              <w:left w:val="nil"/>
              <w:bottom w:val="single" w:sz="4" w:space="0" w:color="auto"/>
              <w:right w:val="single" w:sz="4" w:space="0" w:color="auto"/>
            </w:tcBorders>
            <w:vAlign w:val="center"/>
            <w:hideMark/>
          </w:tcPr>
          <w:p w14:paraId="1E4D4511"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Partido Judicial</w:t>
            </w:r>
          </w:p>
        </w:tc>
        <w:tc>
          <w:tcPr>
            <w:tcW w:w="1354" w:type="dxa"/>
            <w:tcBorders>
              <w:top w:val="single" w:sz="4" w:space="0" w:color="auto"/>
              <w:left w:val="nil"/>
              <w:bottom w:val="single" w:sz="4" w:space="0" w:color="auto"/>
              <w:right w:val="single" w:sz="8" w:space="0" w:color="auto"/>
            </w:tcBorders>
            <w:vAlign w:val="center"/>
            <w:hideMark/>
          </w:tcPr>
          <w:p w14:paraId="155F6051" w14:textId="77777777" w:rsidR="00642FAC" w:rsidRPr="00B955C0" w:rsidRDefault="00642FAC" w:rsidP="00B955C0">
            <w:pPr>
              <w:spacing w:after="0" w:line="240" w:lineRule="auto"/>
              <w:rPr>
                <w:rFonts w:ascii="Arial" w:hAnsi="Arial" w:cs="Arial"/>
                <w:b/>
                <w:bCs/>
                <w:sz w:val="18"/>
                <w:szCs w:val="18"/>
              </w:rPr>
            </w:pPr>
            <w:r w:rsidRPr="00B955C0">
              <w:rPr>
                <w:rFonts w:ascii="Arial" w:hAnsi="Arial" w:cs="Arial"/>
                <w:b/>
                <w:bCs/>
                <w:sz w:val="18"/>
                <w:szCs w:val="18"/>
              </w:rPr>
              <w:t>Juzgado</w:t>
            </w:r>
          </w:p>
        </w:tc>
      </w:tr>
      <w:tr w:rsidR="000748A1" w:rsidRPr="00B955C0" w14:paraId="56177A60" w14:textId="77777777" w:rsidTr="000748A1">
        <w:trPr>
          <w:trHeight w:val="7"/>
          <w:tblHeader/>
          <w:jc w:val="center"/>
        </w:trPr>
        <w:tc>
          <w:tcPr>
            <w:tcW w:w="1204" w:type="dxa"/>
            <w:tcBorders>
              <w:top w:val="nil"/>
              <w:left w:val="single" w:sz="8" w:space="0" w:color="auto"/>
              <w:bottom w:val="single" w:sz="4" w:space="0" w:color="auto"/>
              <w:right w:val="single" w:sz="4" w:space="0" w:color="auto"/>
            </w:tcBorders>
            <w:vAlign w:val="center"/>
            <w:hideMark/>
          </w:tcPr>
          <w:p w14:paraId="734B9E24" w14:textId="77777777" w:rsidR="00642FAC" w:rsidRPr="00B955C0" w:rsidRDefault="00642FAC" w:rsidP="00B955C0">
            <w:pPr>
              <w:pStyle w:val="Default"/>
              <w:rPr>
                <w:sz w:val="18"/>
                <w:szCs w:val="18"/>
              </w:rPr>
            </w:pPr>
            <w:r w:rsidRPr="00B955C0">
              <w:rPr>
                <w:sz w:val="18"/>
                <w:szCs w:val="18"/>
              </w:rPr>
              <w:t>271/2025</w:t>
            </w:r>
          </w:p>
        </w:tc>
        <w:tc>
          <w:tcPr>
            <w:tcW w:w="1511" w:type="dxa"/>
            <w:tcBorders>
              <w:top w:val="nil"/>
              <w:left w:val="nil"/>
              <w:bottom w:val="single" w:sz="4" w:space="0" w:color="auto"/>
              <w:right w:val="single" w:sz="4" w:space="0" w:color="auto"/>
            </w:tcBorders>
            <w:vAlign w:val="center"/>
            <w:hideMark/>
          </w:tcPr>
          <w:p w14:paraId="36FEC13E"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hideMark/>
          </w:tcPr>
          <w:p w14:paraId="66482C3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79D5C2EC"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A bienes de Claudio López</w:t>
            </w:r>
          </w:p>
        </w:tc>
        <w:tc>
          <w:tcPr>
            <w:tcW w:w="1728" w:type="dxa"/>
            <w:tcBorders>
              <w:top w:val="nil"/>
              <w:left w:val="nil"/>
              <w:bottom w:val="single" w:sz="4" w:space="0" w:color="auto"/>
              <w:right w:val="single" w:sz="4" w:space="0" w:color="auto"/>
            </w:tcBorders>
            <w:vAlign w:val="center"/>
          </w:tcPr>
          <w:p w14:paraId="18A3E2B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623DD14F"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Dolores Hidalgo C.I.N.</w:t>
            </w:r>
          </w:p>
        </w:tc>
        <w:tc>
          <w:tcPr>
            <w:tcW w:w="1354" w:type="dxa"/>
            <w:tcBorders>
              <w:top w:val="nil"/>
              <w:left w:val="nil"/>
              <w:bottom w:val="single" w:sz="4" w:space="0" w:color="auto"/>
              <w:right w:val="single" w:sz="8" w:space="0" w:color="auto"/>
            </w:tcBorders>
            <w:vAlign w:val="center"/>
          </w:tcPr>
          <w:p w14:paraId="7893B86F"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Juzgado Segundo Civil de Partido</w:t>
            </w:r>
          </w:p>
        </w:tc>
      </w:tr>
      <w:tr w:rsidR="000748A1" w:rsidRPr="00B955C0" w14:paraId="75167405" w14:textId="77777777" w:rsidTr="000748A1">
        <w:trPr>
          <w:trHeight w:val="7"/>
          <w:tblHeader/>
          <w:jc w:val="center"/>
        </w:trPr>
        <w:tc>
          <w:tcPr>
            <w:tcW w:w="1204" w:type="dxa"/>
            <w:tcBorders>
              <w:top w:val="nil"/>
              <w:left w:val="single" w:sz="8" w:space="0" w:color="auto"/>
              <w:bottom w:val="single" w:sz="4" w:space="0" w:color="auto"/>
              <w:right w:val="single" w:sz="4" w:space="0" w:color="auto"/>
            </w:tcBorders>
            <w:vAlign w:val="center"/>
          </w:tcPr>
          <w:p w14:paraId="5DBE9F0C"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136/2025</w:t>
            </w:r>
          </w:p>
        </w:tc>
        <w:tc>
          <w:tcPr>
            <w:tcW w:w="1511" w:type="dxa"/>
            <w:tcBorders>
              <w:top w:val="nil"/>
              <w:left w:val="nil"/>
              <w:bottom w:val="single" w:sz="4" w:space="0" w:color="auto"/>
              <w:right w:val="single" w:sz="4" w:space="0" w:color="auto"/>
            </w:tcBorders>
            <w:vAlign w:val="center"/>
          </w:tcPr>
          <w:p w14:paraId="74E877F5"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tcPr>
          <w:p w14:paraId="154EE1BA"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0E364975"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 bienes de Carolina Féliz Ramírez</w:t>
            </w:r>
          </w:p>
        </w:tc>
        <w:tc>
          <w:tcPr>
            <w:tcW w:w="1728" w:type="dxa"/>
            <w:tcBorders>
              <w:top w:val="nil"/>
              <w:left w:val="nil"/>
              <w:bottom w:val="single" w:sz="4" w:space="0" w:color="auto"/>
              <w:right w:val="single" w:sz="4" w:space="0" w:color="auto"/>
            </w:tcBorders>
            <w:vAlign w:val="center"/>
          </w:tcPr>
          <w:p w14:paraId="53ACB969"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2451DBE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Dolores Hidalgo C.I.N.</w:t>
            </w:r>
          </w:p>
        </w:tc>
        <w:tc>
          <w:tcPr>
            <w:tcW w:w="1354" w:type="dxa"/>
            <w:tcBorders>
              <w:top w:val="nil"/>
              <w:left w:val="nil"/>
              <w:bottom w:val="single" w:sz="4" w:space="0" w:color="auto"/>
              <w:right w:val="single" w:sz="8" w:space="0" w:color="auto"/>
            </w:tcBorders>
            <w:vAlign w:val="center"/>
          </w:tcPr>
          <w:p w14:paraId="736E99FD"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Juzgado Primero Civil de Partido</w:t>
            </w:r>
          </w:p>
        </w:tc>
      </w:tr>
      <w:tr w:rsidR="000748A1" w:rsidRPr="00B955C0" w14:paraId="395C0392" w14:textId="77777777" w:rsidTr="000748A1">
        <w:trPr>
          <w:trHeight w:val="7"/>
          <w:tblHeader/>
          <w:jc w:val="center"/>
        </w:trPr>
        <w:tc>
          <w:tcPr>
            <w:tcW w:w="1204" w:type="dxa"/>
            <w:tcBorders>
              <w:top w:val="nil"/>
              <w:left w:val="single" w:sz="8" w:space="0" w:color="auto"/>
              <w:bottom w:val="single" w:sz="4" w:space="0" w:color="auto"/>
              <w:right w:val="single" w:sz="4" w:space="0" w:color="auto"/>
            </w:tcBorders>
            <w:vAlign w:val="center"/>
          </w:tcPr>
          <w:p w14:paraId="796DE06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508/2024</w:t>
            </w:r>
          </w:p>
        </w:tc>
        <w:tc>
          <w:tcPr>
            <w:tcW w:w="1511" w:type="dxa"/>
            <w:tcBorders>
              <w:top w:val="nil"/>
              <w:left w:val="nil"/>
              <w:bottom w:val="single" w:sz="4" w:space="0" w:color="auto"/>
              <w:right w:val="single" w:sz="4" w:space="0" w:color="auto"/>
            </w:tcBorders>
            <w:vAlign w:val="center"/>
          </w:tcPr>
          <w:p w14:paraId="07476BC6"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tcPr>
          <w:p w14:paraId="59FE4AFE"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0B8FD7B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 bienes de Sabas Sandoval Menchaca</w:t>
            </w:r>
          </w:p>
        </w:tc>
        <w:tc>
          <w:tcPr>
            <w:tcW w:w="1728" w:type="dxa"/>
            <w:tcBorders>
              <w:top w:val="nil"/>
              <w:left w:val="nil"/>
              <w:bottom w:val="single" w:sz="4" w:space="0" w:color="auto"/>
              <w:right w:val="single" w:sz="4" w:space="0" w:color="auto"/>
            </w:tcBorders>
            <w:vAlign w:val="center"/>
          </w:tcPr>
          <w:p w14:paraId="2853D22A"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32B255B3"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Dolores Hidalgo C.I.N.</w:t>
            </w:r>
          </w:p>
        </w:tc>
        <w:tc>
          <w:tcPr>
            <w:tcW w:w="1354" w:type="dxa"/>
            <w:tcBorders>
              <w:top w:val="nil"/>
              <w:left w:val="nil"/>
              <w:bottom w:val="single" w:sz="4" w:space="0" w:color="auto"/>
              <w:right w:val="single" w:sz="8" w:space="0" w:color="auto"/>
            </w:tcBorders>
            <w:vAlign w:val="center"/>
          </w:tcPr>
          <w:p w14:paraId="7E8E6F98"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Juzgado Primero Civil de Partido</w:t>
            </w:r>
          </w:p>
        </w:tc>
      </w:tr>
      <w:tr w:rsidR="000748A1" w:rsidRPr="00B955C0" w14:paraId="0A4013DC" w14:textId="77777777" w:rsidTr="000748A1">
        <w:trPr>
          <w:trHeight w:val="7"/>
          <w:tblHeader/>
          <w:jc w:val="center"/>
        </w:trPr>
        <w:tc>
          <w:tcPr>
            <w:tcW w:w="1204" w:type="dxa"/>
            <w:tcBorders>
              <w:top w:val="nil"/>
              <w:left w:val="single" w:sz="8" w:space="0" w:color="auto"/>
              <w:bottom w:val="single" w:sz="4" w:space="0" w:color="auto"/>
              <w:right w:val="single" w:sz="4" w:space="0" w:color="auto"/>
            </w:tcBorders>
            <w:vAlign w:val="center"/>
          </w:tcPr>
          <w:p w14:paraId="1A01BA81"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357/2024</w:t>
            </w:r>
          </w:p>
        </w:tc>
        <w:tc>
          <w:tcPr>
            <w:tcW w:w="1511" w:type="dxa"/>
            <w:tcBorders>
              <w:top w:val="nil"/>
              <w:left w:val="nil"/>
              <w:bottom w:val="single" w:sz="4" w:space="0" w:color="auto"/>
              <w:right w:val="single" w:sz="4" w:space="0" w:color="auto"/>
            </w:tcBorders>
            <w:vAlign w:val="center"/>
          </w:tcPr>
          <w:p w14:paraId="4F5C9EC2"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tcPr>
          <w:p w14:paraId="2F4365A6"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479F5DBB"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 bienes de Ma. de los Ángeles Valenzuela Cervantes</w:t>
            </w:r>
          </w:p>
        </w:tc>
        <w:tc>
          <w:tcPr>
            <w:tcW w:w="1728" w:type="dxa"/>
            <w:tcBorders>
              <w:top w:val="nil"/>
              <w:left w:val="nil"/>
              <w:bottom w:val="single" w:sz="4" w:space="0" w:color="auto"/>
              <w:right w:val="single" w:sz="4" w:space="0" w:color="auto"/>
            </w:tcBorders>
            <w:vAlign w:val="center"/>
          </w:tcPr>
          <w:p w14:paraId="47DBB343"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5278F37F"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Irapuato</w:t>
            </w:r>
          </w:p>
        </w:tc>
        <w:tc>
          <w:tcPr>
            <w:tcW w:w="1354" w:type="dxa"/>
            <w:tcBorders>
              <w:top w:val="nil"/>
              <w:left w:val="nil"/>
              <w:bottom w:val="single" w:sz="4" w:space="0" w:color="auto"/>
              <w:right w:val="single" w:sz="8" w:space="0" w:color="auto"/>
            </w:tcBorders>
            <w:vAlign w:val="center"/>
          </w:tcPr>
          <w:p w14:paraId="05222708"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Juzgado Quinto Civil de Partido</w:t>
            </w:r>
          </w:p>
        </w:tc>
      </w:tr>
      <w:tr w:rsidR="000748A1" w:rsidRPr="00B955C0" w14:paraId="7C11C220" w14:textId="77777777" w:rsidTr="000748A1">
        <w:trPr>
          <w:trHeight w:val="7"/>
          <w:tblHeader/>
          <w:jc w:val="center"/>
        </w:trPr>
        <w:tc>
          <w:tcPr>
            <w:tcW w:w="1204" w:type="dxa"/>
            <w:tcBorders>
              <w:top w:val="nil"/>
              <w:left w:val="single" w:sz="8" w:space="0" w:color="auto"/>
              <w:bottom w:val="single" w:sz="4" w:space="0" w:color="auto"/>
              <w:right w:val="single" w:sz="4" w:space="0" w:color="auto"/>
            </w:tcBorders>
            <w:vAlign w:val="center"/>
          </w:tcPr>
          <w:p w14:paraId="57468A01"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488/2024</w:t>
            </w:r>
          </w:p>
        </w:tc>
        <w:tc>
          <w:tcPr>
            <w:tcW w:w="1511" w:type="dxa"/>
            <w:tcBorders>
              <w:top w:val="nil"/>
              <w:left w:val="nil"/>
              <w:bottom w:val="single" w:sz="4" w:space="0" w:color="auto"/>
              <w:right w:val="single" w:sz="4" w:space="0" w:color="auto"/>
            </w:tcBorders>
            <w:vAlign w:val="center"/>
          </w:tcPr>
          <w:p w14:paraId="48293336"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tcPr>
          <w:p w14:paraId="6F9E7934"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2D9CB0E2"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 bienes de Ma. Cristina Rodríguez Méndez</w:t>
            </w:r>
          </w:p>
        </w:tc>
        <w:tc>
          <w:tcPr>
            <w:tcW w:w="1728" w:type="dxa"/>
            <w:tcBorders>
              <w:top w:val="nil"/>
              <w:left w:val="nil"/>
              <w:bottom w:val="single" w:sz="4" w:space="0" w:color="auto"/>
              <w:right w:val="single" w:sz="4" w:space="0" w:color="auto"/>
            </w:tcBorders>
            <w:vAlign w:val="center"/>
          </w:tcPr>
          <w:p w14:paraId="6F3AA4A4"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37CB1FEA"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León</w:t>
            </w:r>
          </w:p>
        </w:tc>
        <w:tc>
          <w:tcPr>
            <w:tcW w:w="1354" w:type="dxa"/>
            <w:tcBorders>
              <w:top w:val="nil"/>
              <w:left w:val="nil"/>
              <w:bottom w:val="single" w:sz="4" w:space="0" w:color="auto"/>
              <w:right w:val="single" w:sz="8" w:space="0" w:color="auto"/>
            </w:tcBorders>
            <w:vAlign w:val="center"/>
          </w:tcPr>
          <w:p w14:paraId="06942310"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Juzgado Décimo Primero Civil de Partido</w:t>
            </w:r>
          </w:p>
        </w:tc>
      </w:tr>
      <w:tr w:rsidR="000748A1" w:rsidRPr="00B955C0" w14:paraId="5B364B54" w14:textId="77777777" w:rsidTr="000748A1">
        <w:trPr>
          <w:trHeight w:val="10"/>
          <w:tblHeader/>
          <w:jc w:val="center"/>
        </w:trPr>
        <w:tc>
          <w:tcPr>
            <w:tcW w:w="1204" w:type="dxa"/>
            <w:tcBorders>
              <w:top w:val="nil"/>
              <w:left w:val="single" w:sz="8" w:space="0" w:color="auto"/>
              <w:bottom w:val="single" w:sz="4" w:space="0" w:color="auto"/>
              <w:right w:val="single" w:sz="4" w:space="0" w:color="auto"/>
            </w:tcBorders>
            <w:vAlign w:val="center"/>
          </w:tcPr>
          <w:p w14:paraId="505130FF"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003/2024</w:t>
            </w:r>
          </w:p>
        </w:tc>
        <w:tc>
          <w:tcPr>
            <w:tcW w:w="1511" w:type="dxa"/>
            <w:tcBorders>
              <w:top w:val="nil"/>
              <w:left w:val="nil"/>
              <w:bottom w:val="single" w:sz="4" w:space="0" w:color="auto"/>
              <w:right w:val="single" w:sz="4" w:space="0" w:color="auto"/>
            </w:tcBorders>
            <w:vAlign w:val="center"/>
          </w:tcPr>
          <w:p w14:paraId="55D18BB7"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tcPr>
          <w:p w14:paraId="62E9C697"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3D748A43"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 bienes de J. Natividad Alamilla Sánchez</w:t>
            </w:r>
          </w:p>
        </w:tc>
        <w:tc>
          <w:tcPr>
            <w:tcW w:w="1728" w:type="dxa"/>
            <w:tcBorders>
              <w:top w:val="nil"/>
              <w:left w:val="nil"/>
              <w:bottom w:val="single" w:sz="4" w:space="0" w:color="auto"/>
              <w:right w:val="single" w:sz="4" w:space="0" w:color="auto"/>
            </w:tcBorders>
            <w:vAlign w:val="center"/>
          </w:tcPr>
          <w:p w14:paraId="3AE90C66"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198D79A7"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León</w:t>
            </w:r>
          </w:p>
        </w:tc>
        <w:tc>
          <w:tcPr>
            <w:tcW w:w="1354" w:type="dxa"/>
            <w:tcBorders>
              <w:top w:val="nil"/>
              <w:left w:val="nil"/>
              <w:bottom w:val="single" w:sz="4" w:space="0" w:color="auto"/>
              <w:right w:val="single" w:sz="8" w:space="0" w:color="auto"/>
            </w:tcBorders>
            <w:vAlign w:val="center"/>
          </w:tcPr>
          <w:p w14:paraId="6380B1EA"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Juzgado Décimo Civil de Partido</w:t>
            </w:r>
          </w:p>
        </w:tc>
      </w:tr>
      <w:tr w:rsidR="000748A1" w:rsidRPr="00B955C0" w14:paraId="7A0D5F54" w14:textId="77777777" w:rsidTr="000748A1">
        <w:trPr>
          <w:trHeight w:val="8"/>
          <w:tblHeader/>
          <w:jc w:val="center"/>
        </w:trPr>
        <w:tc>
          <w:tcPr>
            <w:tcW w:w="1204" w:type="dxa"/>
            <w:tcBorders>
              <w:top w:val="nil"/>
              <w:left w:val="single" w:sz="8" w:space="0" w:color="auto"/>
              <w:bottom w:val="single" w:sz="4" w:space="0" w:color="auto"/>
              <w:right w:val="single" w:sz="4" w:space="0" w:color="auto"/>
            </w:tcBorders>
            <w:vAlign w:val="center"/>
            <w:hideMark/>
          </w:tcPr>
          <w:p w14:paraId="4CF4AFE1" w14:textId="77777777" w:rsidR="00642FAC" w:rsidRPr="00B955C0" w:rsidRDefault="00642FAC" w:rsidP="00B955C0">
            <w:pPr>
              <w:pStyle w:val="Default"/>
              <w:rPr>
                <w:sz w:val="18"/>
                <w:szCs w:val="18"/>
              </w:rPr>
            </w:pPr>
            <w:r w:rsidRPr="00B955C0">
              <w:rPr>
                <w:sz w:val="18"/>
                <w:szCs w:val="18"/>
              </w:rPr>
              <w:t>504/2024</w:t>
            </w:r>
          </w:p>
        </w:tc>
        <w:tc>
          <w:tcPr>
            <w:tcW w:w="1511" w:type="dxa"/>
            <w:tcBorders>
              <w:top w:val="nil"/>
              <w:left w:val="nil"/>
              <w:bottom w:val="single" w:sz="4" w:space="0" w:color="auto"/>
              <w:right w:val="single" w:sz="4" w:space="0" w:color="auto"/>
            </w:tcBorders>
            <w:vAlign w:val="center"/>
            <w:hideMark/>
          </w:tcPr>
          <w:p w14:paraId="620C26D3"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Juicio Sucesorio Intestamentario</w:t>
            </w:r>
          </w:p>
        </w:tc>
        <w:tc>
          <w:tcPr>
            <w:tcW w:w="1345" w:type="dxa"/>
            <w:tcBorders>
              <w:top w:val="nil"/>
              <w:left w:val="nil"/>
              <w:bottom w:val="single" w:sz="4" w:space="0" w:color="auto"/>
              <w:right w:val="single" w:sz="4" w:space="0" w:color="auto"/>
            </w:tcBorders>
            <w:vAlign w:val="center"/>
            <w:hideMark/>
          </w:tcPr>
          <w:p w14:paraId="073A4F90"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sz w:val="18"/>
                <w:szCs w:val="18"/>
              </w:rPr>
              <w:t>Adjudicación de masa hereditaria</w:t>
            </w:r>
          </w:p>
        </w:tc>
        <w:tc>
          <w:tcPr>
            <w:tcW w:w="1584" w:type="dxa"/>
            <w:tcBorders>
              <w:top w:val="nil"/>
              <w:left w:val="nil"/>
              <w:bottom w:val="single" w:sz="4" w:space="0" w:color="auto"/>
              <w:right w:val="single" w:sz="4" w:space="0" w:color="auto"/>
            </w:tcBorders>
            <w:vAlign w:val="center"/>
          </w:tcPr>
          <w:p w14:paraId="630AF1CC"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A bienes de Sergio Arredondo Ramírez</w:t>
            </w:r>
          </w:p>
        </w:tc>
        <w:tc>
          <w:tcPr>
            <w:tcW w:w="1728" w:type="dxa"/>
            <w:tcBorders>
              <w:top w:val="nil"/>
              <w:left w:val="nil"/>
              <w:bottom w:val="single" w:sz="4" w:space="0" w:color="auto"/>
              <w:right w:val="single" w:sz="4" w:space="0" w:color="auto"/>
            </w:tcBorders>
            <w:vAlign w:val="center"/>
          </w:tcPr>
          <w:p w14:paraId="35EAF893"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Primera sección, en búsqueda de bienes.</w:t>
            </w:r>
          </w:p>
        </w:tc>
        <w:tc>
          <w:tcPr>
            <w:tcW w:w="1156" w:type="dxa"/>
            <w:tcBorders>
              <w:top w:val="nil"/>
              <w:left w:val="nil"/>
              <w:bottom w:val="single" w:sz="4" w:space="0" w:color="auto"/>
              <w:right w:val="single" w:sz="4" w:space="0" w:color="auto"/>
            </w:tcBorders>
            <w:vAlign w:val="center"/>
          </w:tcPr>
          <w:p w14:paraId="124EF499"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Salamanca</w:t>
            </w:r>
          </w:p>
        </w:tc>
        <w:tc>
          <w:tcPr>
            <w:tcW w:w="1354" w:type="dxa"/>
            <w:tcBorders>
              <w:top w:val="nil"/>
              <w:left w:val="nil"/>
              <w:bottom w:val="single" w:sz="4" w:space="0" w:color="auto"/>
              <w:right w:val="single" w:sz="8" w:space="0" w:color="auto"/>
            </w:tcBorders>
            <w:vAlign w:val="center"/>
          </w:tcPr>
          <w:p w14:paraId="7A0A5936" w14:textId="77777777" w:rsidR="00642FAC" w:rsidRPr="00B955C0" w:rsidRDefault="00642FAC" w:rsidP="00B955C0">
            <w:pPr>
              <w:spacing w:after="0" w:line="240" w:lineRule="auto"/>
              <w:rPr>
                <w:rFonts w:ascii="Arial" w:hAnsi="Arial" w:cs="Arial"/>
                <w:sz w:val="18"/>
                <w:szCs w:val="18"/>
              </w:rPr>
            </w:pPr>
            <w:r w:rsidRPr="00B955C0">
              <w:rPr>
                <w:rFonts w:ascii="Arial" w:hAnsi="Arial" w:cs="Arial"/>
                <w:color w:val="000000"/>
                <w:sz w:val="18"/>
                <w:szCs w:val="18"/>
              </w:rPr>
              <w:t>Juzgado Tercero Civil de Partido</w:t>
            </w:r>
          </w:p>
        </w:tc>
      </w:tr>
    </w:tbl>
    <w:p w14:paraId="6E0F1D50" w14:textId="77777777" w:rsidR="00642FAC" w:rsidRPr="001A399A" w:rsidRDefault="00642FAC" w:rsidP="001A399A">
      <w:pPr>
        <w:spacing w:after="0" w:line="240" w:lineRule="auto"/>
        <w:jc w:val="both"/>
        <w:rPr>
          <w:rFonts w:ascii="Arial" w:hAnsi="Arial" w:cs="Arial"/>
          <w:sz w:val="20"/>
          <w:szCs w:val="20"/>
        </w:rPr>
      </w:pPr>
    </w:p>
    <w:p w14:paraId="54E47362" w14:textId="77777777" w:rsidR="00642FAC" w:rsidRDefault="00642FAC" w:rsidP="001A399A">
      <w:pPr>
        <w:pStyle w:val="Ttulo2"/>
        <w:spacing w:before="0" w:line="240" w:lineRule="auto"/>
        <w:jc w:val="both"/>
        <w:rPr>
          <w:rFonts w:ascii="Arial" w:hAnsi="Arial" w:cs="Arial"/>
          <w:b/>
          <w:color w:val="auto"/>
          <w:sz w:val="20"/>
          <w:szCs w:val="20"/>
        </w:rPr>
      </w:pPr>
      <w:bookmarkStart w:id="18" w:name="_Toc161472880"/>
    </w:p>
    <w:p w14:paraId="77C48549" w14:textId="77777777" w:rsidR="000748A1" w:rsidRDefault="000748A1" w:rsidP="000748A1"/>
    <w:p w14:paraId="5B73C277" w14:textId="77777777" w:rsidR="000748A1" w:rsidRPr="000748A1" w:rsidRDefault="000748A1" w:rsidP="000748A1"/>
    <w:p w14:paraId="5B2B510A" w14:textId="77777777" w:rsidR="00642FAC" w:rsidRPr="001A399A" w:rsidRDefault="00642FAC" w:rsidP="001A399A">
      <w:pPr>
        <w:pStyle w:val="Ttulo2"/>
        <w:spacing w:before="0" w:line="240" w:lineRule="auto"/>
        <w:jc w:val="both"/>
        <w:rPr>
          <w:rFonts w:ascii="Arial" w:hAnsi="Arial" w:cs="Arial"/>
          <w:b/>
          <w:color w:val="auto"/>
          <w:sz w:val="20"/>
          <w:szCs w:val="20"/>
        </w:rPr>
      </w:pPr>
      <w:r w:rsidRPr="001A399A">
        <w:rPr>
          <w:rFonts w:ascii="Arial" w:hAnsi="Arial" w:cs="Arial"/>
          <w:b/>
          <w:color w:val="auto"/>
          <w:sz w:val="20"/>
          <w:szCs w:val="20"/>
        </w:rPr>
        <w:t>15. Partes Relacionadas:</w:t>
      </w:r>
      <w:bookmarkEnd w:id="18"/>
    </w:p>
    <w:p w14:paraId="27D0CFB1"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10BC71BA"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Se debe establecer por escrito que no existen partes relacionadas que pudieran ejercer influencia significativa sobre la toma de decisiones financieras y operativas:</w:t>
      </w:r>
    </w:p>
    <w:p w14:paraId="2863976E"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p w14:paraId="0FB52CE8"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r w:rsidRPr="001A399A">
        <w:rPr>
          <w:rFonts w:ascii="Arial" w:hAnsi="Arial" w:cs="Arial"/>
          <w:sz w:val="20"/>
          <w:szCs w:val="20"/>
        </w:rPr>
        <w:t>No aplica, no existen partes relacionadas</w:t>
      </w:r>
    </w:p>
    <w:p w14:paraId="348880DF" w14:textId="77777777" w:rsidR="00642FAC" w:rsidRDefault="00642FAC" w:rsidP="001A399A">
      <w:pPr>
        <w:tabs>
          <w:tab w:val="left" w:leader="underscore" w:pos="9639"/>
        </w:tabs>
        <w:spacing w:after="0" w:line="240" w:lineRule="auto"/>
        <w:jc w:val="both"/>
        <w:rPr>
          <w:rFonts w:ascii="Arial" w:hAnsi="Arial" w:cs="Arial"/>
          <w:sz w:val="20"/>
          <w:szCs w:val="20"/>
        </w:rPr>
      </w:pPr>
    </w:p>
    <w:p w14:paraId="31D996C5" w14:textId="77777777" w:rsidR="00B955C0" w:rsidRPr="001A399A" w:rsidRDefault="00B955C0" w:rsidP="001A399A">
      <w:pPr>
        <w:tabs>
          <w:tab w:val="left" w:leader="underscore" w:pos="9639"/>
        </w:tabs>
        <w:spacing w:after="0" w:line="240" w:lineRule="auto"/>
        <w:jc w:val="both"/>
        <w:rPr>
          <w:rFonts w:ascii="Arial" w:hAnsi="Arial" w:cs="Arial"/>
          <w:sz w:val="20"/>
          <w:szCs w:val="20"/>
        </w:rPr>
      </w:pPr>
    </w:p>
    <w:p w14:paraId="73C4B483" w14:textId="77777777" w:rsidR="00642FAC" w:rsidRPr="001A399A" w:rsidRDefault="00642FAC" w:rsidP="001A399A">
      <w:pPr>
        <w:pStyle w:val="Ttulo2"/>
        <w:spacing w:before="0" w:line="240" w:lineRule="auto"/>
        <w:jc w:val="both"/>
        <w:rPr>
          <w:rFonts w:ascii="Arial" w:hAnsi="Arial" w:cs="Arial"/>
          <w:b/>
          <w:color w:val="auto"/>
          <w:sz w:val="20"/>
          <w:szCs w:val="20"/>
        </w:rPr>
      </w:pPr>
      <w:bookmarkStart w:id="19" w:name="_Toc161472881"/>
      <w:r w:rsidRPr="001A399A">
        <w:rPr>
          <w:rFonts w:ascii="Arial" w:hAnsi="Arial" w:cs="Arial"/>
          <w:b/>
          <w:color w:val="auto"/>
          <w:sz w:val="20"/>
          <w:szCs w:val="20"/>
        </w:rPr>
        <w:t>16. Responsabilidad Sobre la Presentación Razonable de la Información Contable:</w:t>
      </w:r>
      <w:bookmarkEnd w:id="19"/>
    </w:p>
    <w:p w14:paraId="5C4E0D0F" w14:textId="77777777" w:rsidR="00642FAC" w:rsidRPr="001A399A" w:rsidRDefault="00642FAC" w:rsidP="001A399A">
      <w:pPr>
        <w:spacing w:after="0" w:line="240" w:lineRule="auto"/>
        <w:jc w:val="both"/>
        <w:rPr>
          <w:rFonts w:ascii="Arial" w:hAnsi="Arial" w:cs="Arial"/>
          <w:sz w:val="20"/>
          <w:szCs w:val="20"/>
        </w:rPr>
      </w:pPr>
    </w:p>
    <w:p w14:paraId="3957E1E0" w14:textId="77777777" w:rsidR="00642FAC" w:rsidRPr="001A399A" w:rsidRDefault="00642FAC" w:rsidP="001A399A">
      <w:pPr>
        <w:spacing w:after="0" w:line="240" w:lineRule="auto"/>
        <w:jc w:val="both"/>
        <w:rPr>
          <w:rFonts w:ascii="Arial" w:hAnsi="Arial" w:cs="Arial"/>
          <w:sz w:val="20"/>
          <w:szCs w:val="20"/>
        </w:rPr>
      </w:pPr>
      <w:r w:rsidRPr="001A399A">
        <w:rPr>
          <w:rFonts w:ascii="Arial" w:hAnsi="Arial" w:cs="Arial"/>
          <w:sz w:val="20"/>
          <w:szCs w:val="20"/>
        </w:rPr>
        <w:t>“Bajo protesta de decir verdad declaramos que los Estados Financieros y sus notas, son razonablemente correctos y son responsabilidad del emisor”</w:t>
      </w:r>
    </w:p>
    <w:p w14:paraId="7B8117A7" w14:textId="77777777" w:rsidR="00642FAC" w:rsidRPr="001A399A" w:rsidRDefault="00642FAC" w:rsidP="001A399A">
      <w:pPr>
        <w:tabs>
          <w:tab w:val="left" w:leader="underscore" w:pos="9639"/>
        </w:tabs>
        <w:spacing w:after="0" w:line="240" w:lineRule="auto"/>
        <w:jc w:val="both"/>
        <w:rPr>
          <w:rFonts w:ascii="Arial" w:hAnsi="Arial" w:cs="Arial"/>
          <w:sz w:val="20"/>
          <w:szCs w:val="20"/>
        </w:rPr>
      </w:pPr>
    </w:p>
    <w:tbl>
      <w:tblPr>
        <w:tblStyle w:val="Tablaconcuadrcula"/>
        <w:tblpPr w:leftFromText="141" w:rightFromText="141" w:vertAnchor="text" w:horzAnchor="margin" w:tblpXSpec="center"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42FAC" w:rsidRPr="001A399A" w14:paraId="6BC0C1F1" w14:textId="77777777" w:rsidTr="000E1225">
        <w:tc>
          <w:tcPr>
            <w:tcW w:w="4310" w:type="dxa"/>
            <w:tcBorders>
              <w:top w:val="single" w:sz="4" w:space="0" w:color="auto"/>
            </w:tcBorders>
          </w:tcPr>
          <w:p w14:paraId="2275543C" w14:textId="77777777" w:rsidR="00642FAC" w:rsidRPr="001A399A" w:rsidRDefault="00642FAC" w:rsidP="001A399A">
            <w:pPr>
              <w:spacing w:after="0" w:line="240" w:lineRule="auto"/>
              <w:jc w:val="center"/>
              <w:rPr>
                <w:rFonts w:ascii="Arial" w:hAnsi="Arial" w:cs="Arial"/>
                <w:sz w:val="20"/>
                <w:szCs w:val="20"/>
              </w:rPr>
            </w:pPr>
            <w:r w:rsidRPr="001A399A">
              <w:rPr>
                <w:rFonts w:ascii="Arial" w:hAnsi="Arial" w:cs="Arial"/>
                <w:sz w:val="20"/>
                <w:szCs w:val="20"/>
              </w:rPr>
              <w:t>Dra. Graciela Ma. de la Luz Ruiz Aguilar</w:t>
            </w:r>
          </w:p>
        </w:tc>
        <w:tc>
          <w:tcPr>
            <w:tcW w:w="1058" w:type="dxa"/>
          </w:tcPr>
          <w:p w14:paraId="0A2D514D" w14:textId="77777777" w:rsidR="00642FAC" w:rsidRPr="001A399A" w:rsidRDefault="00642FAC" w:rsidP="001A399A">
            <w:pPr>
              <w:spacing w:after="0" w:line="240" w:lineRule="auto"/>
              <w:jc w:val="center"/>
              <w:rPr>
                <w:rFonts w:ascii="Arial" w:hAnsi="Arial" w:cs="Arial"/>
                <w:sz w:val="20"/>
                <w:szCs w:val="20"/>
              </w:rPr>
            </w:pPr>
          </w:p>
        </w:tc>
        <w:tc>
          <w:tcPr>
            <w:tcW w:w="4320" w:type="dxa"/>
            <w:tcBorders>
              <w:top w:val="single" w:sz="4" w:space="0" w:color="auto"/>
            </w:tcBorders>
          </w:tcPr>
          <w:p w14:paraId="07949FBD" w14:textId="77777777" w:rsidR="00642FAC" w:rsidRPr="001A399A" w:rsidRDefault="00642FAC" w:rsidP="001A399A">
            <w:pPr>
              <w:spacing w:after="0" w:line="240" w:lineRule="auto"/>
              <w:jc w:val="center"/>
              <w:rPr>
                <w:rFonts w:ascii="Arial" w:hAnsi="Arial" w:cs="Arial"/>
                <w:sz w:val="20"/>
                <w:szCs w:val="20"/>
              </w:rPr>
            </w:pPr>
            <w:r w:rsidRPr="001A399A">
              <w:rPr>
                <w:rFonts w:ascii="Arial" w:hAnsi="Arial" w:cs="Arial"/>
                <w:sz w:val="20"/>
                <w:szCs w:val="20"/>
              </w:rPr>
              <w:t>C.P. Pedro Rocha Montalvo</w:t>
            </w:r>
          </w:p>
        </w:tc>
      </w:tr>
      <w:tr w:rsidR="00642FAC" w:rsidRPr="001A399A" w14:paraId="07C1A9A2" w14:textId="77777777" w:rsidTr="000E1225">
        <w:tc>
          <w:tcPr>
            <w:tcW w:w="4310" w:type="dxa"/>
          </w:tcPr>
          <w:p w14:paraId="5CDD21CD" w14:textId="77777777" w:rsidR="00642FAC" w:rsidRPr="001A399A" w:rsidRDefault="00642FAC" w:rsidP="001A399A">
            <w:pPr>
              <w:spacing w:after="0" w:line="240" w:lineRule="auto"/>
              <w:jc w:val="center"/>
              <w:rPr>
                <w:rFonts w:ascii="Arial" w:hAnsi="Arial" w:cs="Arial"/>
                <w:sz w:val="20"/>
                <w:szCs w:val="20"/>
              </w:rPr>
            </w:pPr>
            <w:r w:rsidRPr="001A399A">
              <w:rPr>
                <w:rFonts w:ascii="Arial" w:hAnsi="Arial" w:cs="Arial"/>
                <w:sz w:val="20"/>
                <w:szCs w:val="20"/>
              </w:rPr>
              <w:t>Secretaria de Gestión y Desarrollo</w:t>
            </w:r>
          </w:p>
        </w:tc>
        <w:tc>
          <w:tcPr>
            <w:tcW w:w="1058" w:type="dxa"/>
          </w:tcPr>
          <w:p w14:paraId="2A669B01" w14:textId="77777777" w:rsidR="00642FAC" w:rsidRPr="001A399A" w:rsidRDefault="00642FAC" w:rsidP="001A399A">
            <w:pPr>
              <w:spacing w:after="0" w:line="240" w:lineRule="auto"/>
              <w:jc w:val="center"/>
              <w:rPr>
                <w:rFonts w:ascii="Arial" w:hAnsi="Arial" w:cs="Arial"/>
                <w:sz w:val="20"/>
                <w:szCs w:val="20"/>
              </w:rPr>
            </w:pPr>
          </w:p>
        </w:tc>
        <w:tc>
          <w:tcPr>
            <w:tcW w:w="4320" w:type="dxa"/>
          </w:tcPr>
          <w:p w14:paraId="3D552D8F" w14:textId="77777777" w:rsidR="00642FAC" w:rsidRPr="001A399A" w:rsidRDefault="00642FAC" w:rsidP="001A399A">
            <w:pPr>
              <w:spacing w:after="0" w:line="240" w:lineRule="auto"/>
              <w:jc w:val="center"/>
              <w:rPr>
                <w:rFonts w:ascii="Arial" w:hAnsi="Arial" w:cs="Arial"/>
                <w:sz w:val="20"/>
                <w:szCs w:val="20"/>
              </w:rPr>
            </w:pPr>
            <w:r w:rsidRPr="001A399A">
              <w:rPr>
                <w:rFonts w:ascii="Arial" w:hAnsi="Arial" w:cs="Arial"/>
                <w:sz w:val="20"/>
                <w:szCs w:val="20"/>
              </w:rPr>
              <w:t>Director de Recursos Financieros</w:t>
            </w:r>
          </w:p>
        </w:tc>
      </w:tr>
    </w:tbl>
    <w:p w14:paraId="2B9567CC" w14:textId="77777777" w:rsidR="00642FAC" w:rsidRPr="001A399A" w:rsidRDefault="00642FAC" w:rsidP="001A399A">
      <w:pPr>
        <w:tabs>
          <w:tab w:val="left" w:leader="underscore" w:pos="9639"/>
        </w:tabs>
        <w:spacing w:after="0" w:line="240" w:lineRule="auto"/>
        <w:jc w:val="center"/>
        <w:rPr>
          <w:rFonts w:ascii="Arial" w:hAnsi="Arial" w:cs="Arial"/>
          <w:sz w:val="20"/>
          <w:szCs w:val="20"/>
        </w:rPr>
      </w:pPr>
    </w:p>
    <w:p w14:paraId="1DBBBC93" w14:textId="77777777" w:rsidR="00642FAC" w:rsidRPr="001A399A" w:rsidRDefault="00642FAC" w:rsidP="001A399A">
      <w:pPr>
        <w:spacing w:after="0" w:line="240" w:lineRule="auto"/>
        <w:jc w:val="center"/>
        <w:rPr>
          <w:rFonts w:ascii="Arial" w:hAnsi="Arial" w:cs="Arial"/>
          <w:sz w:val="20"/>
          <w:szCs w:val="20"/>
        </w:rPr>
      </w:pPr>
    </w:p>
    <w:p w14:paraId="463E2779" w14:textId="77777777" w:rsidR="00642FAC" w:rsidRPr="001A399A" w:rsidRDefault="00642FAC" w:rsidP="001A399A">
      <w:pPr>
        <w:spacing w:after="0" w:line="240" w:lineRule="auto"/>
        <w:jc w:val="center"/>
        <w:rPr>
          <w:rFonts w:ascii="Arial" w:hAnsi="Arial" w:cs="Arial"/>
          <w:sz w:val="20"/>
          <w:szCs w:val="20"/>
        </w:rPr>
      </w:pPr>
    </w:p>
    <w:p w14:paraId="597D1F27" w14:textId="77777777" w:rsidR="00642FAC" w:rsidRPr="001A399A" w:rsidRDefault="00642FAC" w:rsidP="001A399A">
      <w:pPr>
        <w:spacing w:after="0" w:line="240" w:lineRule="auto"/>
        <w:jc w:val="center"/>
        <w:rPr>
          <w:rFonts w:ascii="Arial" w:hAnsi="Arial" w:cs="Arial"/>
          <w:sz w:val="20"/>
          <w:szCs w:val="20"/>
        </w:rPr>
      </w:pPr>
    </w:p>
    <w:p w14:paraId="3020FEF9" w14:textId="77777777" w:rsidR="00642FAC" w:rsidRPr="001A399A" w:rsidRDefault="00642FAC" w:rsidP="001A399A">
      <w:pPr>
        <w:spacing w:after="0" w:line="240" w:lineRule="auto"/>
        <w:jc w:val="center"/>
        <w:rPr>
          <w:rFonts w:ascii="Arial" w:hAnsi="Arial" w:cs="Arial"/>
          <w:sz w:val="20"/>
          <w:szCs w:val="20"/>
        </w:rPr>
      </w:pPr>
    </w:p>
    <w:p w14:paraId="7CE26E32" w14:textId="77777777" w:rsidR="00642FAC" w:rsidRPr="001A399A" w:rsidRDefault="00642FAC" w:rsidP="001A399A">
      <w:pPr>
        <w:spacing w:after="0" w:line="240" w:lineRule="auto"/>
        <w:jc w:val="center"/>
        <w:rPr>
          <w:rFonts w:ascii="Arial" w:hAnsi="Arial" w:cs="Arial"/>
          <w:sz w:val="20"/>
          <w:szCs w:val="20"/>
        </w:rPr>
      </w:pPr>
    </w:p>
    <w:p w14:paraId="15AA68E8" w14:textId="77777777" w:rsidR="00642FAC" w:rsidRPr="001A399A" w:rsidRDefault="00642FAC" w:rsidP="001A399A">
      <w:pPr>
        <w:spacing w:after="0" w:line="240" w:lineRule="auto"/>
        <w:jc w:val="center"/>
        <w:rPr>
          <w:rFonts w:ascii="Arial" w:hAnsi="Arial" w:cs="Arial"/>
          <w:sz w:val="20"/>
          <w:szCs w:val="20"/>
        </w:rPr>
      </w:pPr>
    </w:p>
    <w:p w14:paraId="45873FC2" w14:textId="77777777" w:rsidR="00642FAC" w:rsidRPr="001A399A" w:rsidRDefault="00642FAC" w:rsidP="001A399A">
      <w:pPr>
        <w:spacing w:after="0" w:line="240" w:lineRule="auto"/>
        <w:jc w:val="center"/>
        <w:rPr>
          <w:rFonts w:ascii="Arial" w:hAnsi="Arial" w:cs="Arial"/>
          <w:sz w:val="20"/>
          <w:szCs w:val="20"/>
        </w:rPr>
      </w:pPr>
    </w:p>
    <w:p w14:paraId="70A5C725" w14:textId="77777777" w:rsidR="00642FAC" w:rsidRPr="001A399A" w:rsidRDefault="00642FAC" w:rsidP="001A399A">
      <w:pPr>
        <w:spacing w:after="0" w:line="240" w:lineRule="auto"/>
        <w:jc w:val="center"/>
        <w:rPr>
          <w:rFonts w:ascii="Arial" w:hAnsi="Arial" w:cs="Arial"/>
          <w:sz w:val="20"/>
          <w:szCs w:val="20"/>
        </w:rPr>
      </w:pPr>
    </w:p>
    <w:p w14:paraId="22D5D632" w14:textId="77777777" w:rsidR="00642FAC" w:rsidRPr="001A399A" w:rsidRDefault="00642FAC" w:rsidP="001A399A">
      <w:pPr>
        <w:spacing w:after="0" w:line="240" w:lineRule="auto"/>
        <w:jc w:val="center"/>
        <w:rPr>
          <w:rFonts w:ascii="Arial" w:hAnsi="Arial" w:cs="Arial"/>
          <w:sz w:val="20"/>
          <w:szCs w:val="20"/>
        </w:rPr>
      </w:pPr>
    </w:p>
    <w:p w14:paraId="1486DD80" w14:textId="77777777" w:rsidR="00642FAC" w:rsidRPr="001A399A" w:rsidRDefault="00642FAC" w:rsidP="001A399A">
      <w:pPr>
        <w:spacing w:after="0" w:line="240" w:lineRule="auto"/>
        <w:jc w:val="center"/>
        <w:rPr>
          <w:rFonts w:ascii="Arial" w:hAnsi="Arial" w:cs="Arial"/>
          <w:sz w:val="20"/>
          <w:szCs w:val="20"/>
        </w:rPr>
      </w:pPr>
    </w:p>
    <w:p w14:paraId="14EC3DDC" w14:textId="77777777" w:rsidR="00642FAC" w:rsidRPr="001A399A" w:rsidRDefault="00642FAC" w:rsidP="001A399A">
      <w:pPr>
        <w:spacing w:after="0" w:line="240" w:lineRule="auto"/>
        <w:jc w:val="center"/>
        <w:rPr>
          <w:rFonts w:ascii="Arial" w:hAnsi="Arial" w:cs="Arial"/>
          <w:b/>
          <w:sz w:val="20"/>
          <w:szCs w:val="20"/>
        </w:rPr>
      </w:pPr>
    </w:p>
    <w:p w14:paraId="74D16815" w14:textId="77777777" w:rsidR="00D5018E" w:rsidRPr="001A399A" w:rsidRDefault="00D5018E" w:rsidP="007F35D0">
      <w:pPr>
        <w:tabs>
          <w:tab w:val="left" w:leader="underscore" w:pos="9639"/>
        </w:tabs>
        <w:spacing w:after="0" w:line="240" w:lineRule="auto"/>
        <w:jc w:val="right"/>
        <w:rPr>
          <w:rFonts w:ascii="Arial" w:hAnsi="Arial" w:cs="Arial"/>
          <w:sz w:val="20"/>
          <w:szCs w:val="20"/>
        </w:rPr>
      </w:pPr>
    </w:p>
    <w:sectPr w:rsidR="00D5018E" w:rsidRPr="001A399A" w:rsidSect="007F35D0">
      <w:headerReference w:type="default" r:id="rId13"/>
      <w:footerReference w:type="default" r:id="rId14"/>
      <w:pgSz w:w="12240" w:h="15840" w:code="1"/>
      <w:pgMar w:top="1418" w:right="1134" w:bottom="1134" w:left="1418" w:header="709" w:footer="567"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5CD1" w14:textId="77777777" w:rsidR="00080501" w:rsidRDefault="00080501" w:rsidP="00E00323">
      <w:pPr>
        <w:spacing w:after="0" w:line="240" w:lineRule="auto"/>
      </w:pPr>
      <w:r>
        <w:separator/>
      </w:r>
    </w:p>
  </w:endnote>
  <w:endnote w:type="continuationSeparator" w:id="0">
    <w:p w14:paraId="68D325AE" w14:textId="77777777" w:rsidR="00080501" w:rsidRDefault="0008050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964267310"/>
      <w:docPartObj>
        <w:docPartGallery w:val="Page Numbers (Bottom of Page)"/>
        <w:docPartUnique/>
      </w:docPartObj>
    </w:sdtPr>
    <w:sdtContent>
      <w:p w14:paraId="45A1378E" w14:textId="1F43DD64" w:rsidR="0012405A" w:rsidRPr="00BB5918" w:rsidRDefault="00BB5918">
        <w:pPr>
          <w:pStyle w:val="Piedepgina"/>
          <w:jc w:val="right"/>
          <w:rPr>
            <w:rFonts w:ascii="Arial" w:hAnsi="Arial" w:cs="Arial"/>
            <w:sz w:val="18"/>
            <w:szCs w:val="18"/>
          </w:rPr>
        </w:pPr>
        <w:r w:rsidRPr="00BB5918">
          <w:rPr>
            <w:rFonts w:ascii="Arial" w:hAnsi="Arial" w:cs="Arial"/>
            <w:sz w:val="18"/>
            <w:szCs w:val="18"/>
          </w:rPr>
          <w:t xml:space="preserve"> Página </w:t>
        </w:r>
        <w:r w:rsidR="0012405A" w:rsidRPr="00BB5918">
          <w:rPr>
            <w:rFonts w:ascii="Arial" w:hAnsi="Arial" w:cs="Arial"/>
            <w:sz w:val="18"/>
            <w:szCs w:val="18"/>
          </w:rPr>
          <w:fldChar w:fldCharType="begin"/>
        </w:r>
        <w:r w:rsidR="0012405A" w:rsidRPr="00BB5918">
          <w:rPr>
            <w:rFonts w:ascii="Arial" w:hAnsi="Arial" w:cs="Arial"/>
            <w:sz w:val="18"/>
            <w:szCs w:val="18"/>
          </w:rPr>
          <w:instrText>PAGE   \* MERGEFORMAT</w:instrText>
        </w:r>
        <w:r w:rsidR="0012405A" w:rsidRPr="00BB5918">
          <w:rPr>
            <w:rFonts w:ascii="Arial" w:hAnsi="Arial" w:cs="Arial"/>
            <w:sz w:val="18"/>
            <w:szCs w:val="18"/>
          </w:rPr>
          <w:fldChar w:fldCharType="separate"/>
        </w:r>
        <w:r w:rsidR="00A730E0" w:rsidRPr="00BB5918">
          <w:rPr>
            <w:rFonts w:ascii="Arial" w:hAnsi="Arial" w:cs="Arial"/>
            <w:noProof/>
            <w:sz w:val="18"/>
            <w:szCs w:val="18"/>
            <w:lang w:val="es-ES"/>
          </w:rPr>
          <w:t>1</w:t>
        </w:r>
        <w:r w:rsidR="0012405A" w:rsidRPr="00BB5918">
          <w:rPr>
            <w:rFonts w:ascii="Arial" w:hAnsi="Arial" w:cs="Arial"/>
            <w:sz w:val="18"/>
            <w:szCs w:val="18"/>
          </w:rP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7F32" w14:textId="77777777" w:rsidR="00080501" w:rsidRDefault="00080501" w:rsidP="00E00323">
      <w:pPr>
        <w:spacing w:after="0" w:line="240" w:lineRule="auto"/>
      </w:pPr>
      <w:r>
        <w:separator/>
      </w:r>
    </w:p>
  </w:footnote>
  <w:footnote w:type="continuationSeparator" w:id="0">
    <w:p w14:paraId="31A01A0C" w14:textId="77777777" w:rsidR="00080501" w:rsidRDefault="0008050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41CCB3F5" w:rsidR="00154BA3" w:rsidRPr="00946CBF" w:rsidRDefault="00642FAC" w:rsidP="00A4610E">
    <w:pPr>
      <w:pStyle w:val="Encabezado"/>
      <w:spacing w:after="0" w:line="240" w:lineRule="auto"/>
      <w:jc w:val="center"/>
      <w:rPr>
        <w:sz w:val="28"/>
        <w:szCs w:val="28"/>
      </w:rPr>
    </w:pPr>
    <w:r w:rsidRPr="00946CBF">
      <w:rPr>
        <w:sz w:val="28"/>
        <w:szCs w:val="28"/>
      </w:rPr>
      <w:t>Universidad de Guanajuato</w:t>
    </w:r>
  </w:p>
  <w:p w14:paraId="651A4C4F" w14:textId="65C7B246" w:rsidR="00A4610E" w:rsidRPr="00946CBF" w:rsidRDefault="00A4610E" w:rsidP="00A4610E">
    <w:pPr>
      <w:pStyle w:val="Encabezado"/>
      <w:spacing w:after="0" w:line="240" w:lineRule="auto"/>
      <w:jc w:val="center"/>
      <w:rPr>
        <w:sz w:val="28"/>
        <w:szCs w:val="28"/>
      </w:rPr>
    </w:pPr>
    <w:r w:rsidRPr="00946CBF">
      <w:rPr>
        <w:sz w:val="28"/>
        <w:szCs w:val="28"/>
      </w:rPr>
      <w:t>CORRESPONDI</w:t>
    </w:r>
    <w:r w:rsidR="00DD018C" w:rsidRPr="00946CBF">
      <w:rPr>
        <w:sz w:val="28"/>
        <w:szCs w:val="28"/>
      </w:rPr>
      <w:t>E</w:t>
    </w:r>
    <w:r w:rsidRPr="00946CBF">
      <w:rPr>
        <w:sz w:val="28"/>
        <w:szCs w:val="28"/>
      </w:rPr>
      <w:t xml:space="preserve">NTES AL </w:t>
    </w:r>
    <w:r w:rsidR="00642FAC" w:rsidRPr="00946CBF">
      <w:rPr>
        <w:sz w:val="28"/>
        <w:szCs w:val="28"/>
      </w:rPr>
      <w:t>31 DE DICIEMBRE DEL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351"/>
    <w:multiLevelType w:val="hybridMultilevel"/>
    <w:tmpl w:val="27D0B61E"/>
    <w:lvl w:ilvl="0" w:tplc="1C265248">
      <w:start w:val="1"/>
      <w:numFmt w:val="bullet"/>
      <w:lvlText w:val="-"/>
      <w:lvlJc w:val="left"/>
      <w:pPr>
        <w:ind w:left="1069" w:hanging="360"/>
      </w:pPr>
      <w:rPr>
        <w:rFonts w:ascii="Arial" w:eastAsia="Times New Roman" w:hAnsi="Arial" w:cs="Aria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2"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3" w15:restartNumberingAfterBreak="0">
    <w:nsid w:val="04264BE4"/>
    <w:multiLevelType w:val="hybridMultilevel"/>
    <w:tmpl w:val="D308577C"/>
    <w:lvl w:ilvl="0" w:tplc="1C265248">
      <w:start w:val="1"/>
      <w:numFmt w:val="bullet"/>
      <w:lvlText w:val="-"/>
      <w:lvlJc w:val="left"/>
      <w:pPr>
        <w:ind w:left="1069" w:hanging="360"/>
      </w:pPr>
      <w:rPr>
        <w:rFonts w:ascii="Arial" w:eastAsia="Times New Roman" w:hAnsi="Arial" w:cs="Aria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46AAF"/>
    <w:multiLevelType w:val="hybridMultilevel"/>
    <w:tmpl w:val="123E4176"/>
    <w:lvl w:ilvl="0" w:tplc="040A0001">
      <w:start w:val="1"/>
      <w:numFmt w:val="bullet"/>
      <w:lvlText w:val=""/>
      <w:lvlJc w:val="left"/>
      <w:pPr>
        <w:ind w:left="853" w:hanging="360"/>
      </w:pPr>
      <w:rPr>
        <w:rFonts w:ascii="Symbol" w:hAnsi="Symbol" w:hint="default"/>
      </w:rPr>
    </w:lvl>
    <w:lvl w:ilvl="1" w:tplc="040A0003">
      <w:start w:val="1"/>
      <w:numFmt w:val="bullet"/>
      <w:lvlText w:val="o"/>
      <w:lvlJc w:val="left"/>
      <w:pPr>
        <w:ind w:left="1573" w:hanging="360"/>
      </w:pPr>
      <w:rPr>
        <w:rFonts w:ascii="Courier New" w:hAnsi="Courier New" w:cs="Courier New" w:hint="default"/>
      </w:rPr>
    </w:lvl>
    <w:lvl w:ilvl="2" w:tplc="040A0005" w:tentative="1">
      <w:start w:val="1"/>
      <w:numFmt w:val="bullet"/>
      <w:lvlText w:val=""/>
      <w:lvlJc w:val="left"/>
      <w:pPr>
        <w:ind w:left="2293" w:hanging="360"/>
      </w:pPr>
      <w:rPr>
        <w:rFonts w:ascii="Wingdings" w:hAnsi="Wingdings" w:hint="default"/>
      </w:rPr>
    </w:lvl>
    <w:lvl w:ilvl="3" w:tplc="040A0001" w:tentative="1">
      <w:start w:val="1"/>
      <w:numFmt w:val="bullet"/>
      <w:lvlText w:val=""/>
      <w:lvlJc w:val="left"/>
      <w:pPr>
        <w:ind w:left="3013" w:hanging="360"/>
      </w:pPr>
      <w:rPr>
        <w:rFonts w:ascii="Symbol" w:hAnsi="Symbol" w:hint="default"/>
      </w:rPr>
    </w:lvl>
    <w:lvl w:ilvl="4" w:tplc="040A0003" w:tentative="1">
      <w:start w:val="1"/>
      <w:numFmt w:val="bullet"/>
      <w:lvlText w:val="o"/>
      <w:lvlJc w:val="left"/>
      <w:pPr>
        <w:ind w:left="3733" w:hanging="360"/>
      </w:pPr>
      <w:rPr>
        <w:rFonts w:ascii="Courier New" w:hAnsi="Courier New" w:cs="Courier New" w:hint="default"/>
      </w:rPr>
    </w:lvl>
    <w:lvl w:ilvl="5" w:tplc="040A0005" w:tentative="1">
      <w:start w:val="1"/>
      <w:numFmt w:val="bullet"/>
      <w:lvlText w:val=""/>
      <w:lvlJc w:val="left"/>
      <w:pPr>
        <w:ind w:left="4453" w:hanging="360"/>
      </w:pPr>
      <w:rPr>
        <w:rFonts w:ascii="Wingdings" w:hAnsi="Wingdings" w:hint="default"/>
      </w:rPr>
    </w:lvl>
    <w:lvl w:ilvl="6" w:tplc="040A0001" w:tentative="1">
      <w:start w:val="1"/>
      <w:numFmt w:val="bullet"/>
      <w:lvlText w:val=""/>
      <w:lvlJc w:val="left"/>
      <w:pPr>
        <w:ind w:left="5173" w:hanging="360"/>
      </w:pPr>
      <w:rPr>
        <w:rFonts w:ascii="Symbol" w:hAnsi="Symbol" w:hint="default"/>
      </w:rPr>
    </w:lvl>
    <w:lvl w:ilvl="7" w:tplc="040A0003" w:tentative="1">
      <w:start w:val="1"/>
      <w:numFmt w:val="bullet"/>
      <w:lvlText w:val="o"/>
      <w:lvlJc w:val="left"/>
      <w:pPr>
        <w:ind w:left="5893" w:hanging="360"/>
      </w:pPr>
      <w:rPr>
        <w:rFonts w:ascii="Courier New" w:hAnsi="Courier New" w:cs="Courier New" w:hint="default"/>
      </w:rPr>
    </w:lvl>
    <w:lvl w:ilvl="8" w:tplc="040A0005" w:tentative="1">
      <w:start w:val="1"/>
      <w:numFmt w:val="bullet"/>
      <w:lvlText w:val=""/>
      <w:lvlJc w:val="left"/>
      <w:pPr>
        <w:ind w:left="6613" w:hanging="360"/>
      </w:pPr>
      <w:rPr>
        <w:rFonts w:ascii="Wingdings" w:hAnsi="Wingdings" w:hint="default"/>
      </w:rPr>
    </w:lvl>
  </w:abstractNum>
  <w:abstractNum w:abstractNumId="7" w15:restartNumberingAfterBreak="0">
    <w:nsid w:val="1CED5C0D"/>
    <w:multiLevelType w:val="hybridMultilevel"/>
    <w:tmpl w:val="533C7A2C"/>
    <w:lvl w:ilvl="0" w:tplc="1C265248">
      <w:start w:val="1"/>
      <w:numFmt w:val="bullet"/>
      <w:lvlText w:val="-"/>
      <w:lvlJc w:val="left"/>
      <w:pPr>
        <w:ind w:left="1069" w:hanging="360"/>
      </w:pPr>
      <w:rPr>
        <w:rFonts w:ascii="Arial" w:eastAsia="Times New Roman"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E5E2C7A"/>
    <w:multiLevelType w:val="hybridMultilevel"/>
    <w:tmpl w:val="90CC8736"/>
    <w:lvl w:ilvl="0" w:tplc="88F81B82">
      <w:start w:val="1"/>
      <w:numFmt w:val="lowerLetter"/>
      <w:lvlText w:val="%1)"/>
      <w:lvlJc w:val="left"/>
      <w:pPr>
        <w:ind w:left="1069"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B47BE7"/>
    <w:multiLevelType w:val="hybridMultilevel"/>
    <w:tmpl w:val="C50C16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875A1"/>
    <w:multiLevelType w:val="hybridMultilevel"/>
    <w:tmpl w:val="F0FE093C"/>
    <w:lvl w:ilvl="0" w:tplc="080A0017">
      <w:start w:val="1"/>
      <w:numFmt w:val="lowerLetter"/>
      <w:lvlText w:val="%1)"/>
      <w:lvlJc w:val="left"/>
      <w:pPr>
        <w:ind w:left="2137" w:hanging="360"/>
      </w:pPr>
    </w:lvl>
    <w:lvl w:ilvl="1" w:tplc="080A0019">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11"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91F83"/>
    <w:multiLevelType w:val="hybridMultilevel"/>
    <w:tmpl w:val="3C4CBE8A"/>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B824589"/>
    <w:multiLevelType w:val="hybridMultilevel"/>
    <w:tmpl w:val="126AB98A"/>
    <w:lvl w:ilvl="0" w:tplc="1C265248">
      <w:start w:val="1"/>
      <w:numFmt w:val="bullet"/>
      <w:lvlText w:val="-"/>
      <w:lvlJc w:val="left"/>
      <w:pPr>
        <w:ind w:left="1069"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40997A7F"/>
    <w:multiLevelType w:val="hybridMultilevel"/>
    <w:tmpl w:val="B8701F7A"/>
    <w:lvl w:ilvl="0" w:tplc="45321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B623B"/>
    <w:multiLevelType w:val="hybridMultilevel"/>
    <w:tmpl w:val="CB54D148"/>
    <w:lvl w:ilvl="0" w:tplc="080A0017">
      <w:start w:val="1"/>
      <w:numFmt w:val="lowerLetter"/>
      <w:lvlText w:val="%1)"/>
      <w:lvlJc w:val="left"/>
      <w:pPr>
        <w:ind w:left="1069" w:hanging="36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D7B19"/>
    <w:multiLevelType w:val="hybridMultilevel"/>
    <w:tmpl w:val="AA2622F4"/>
    <w:lvl w:ilvl="0" w:tplc="E54081F2">
      <w:start w:val="2"/>
      <w:numFmt w:val="bullet"/>
      <w:lvlText w:val="-"/>
      <w:lvlJc w:val="left"/>
      <w:pPr>
        <w:ind w:left="648" w:hanging="36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1" w15:restartNumberingAfterBreak="0">
    <w:nsid w:val="444E1F92"/>
    <w:multiLevelType w:val="hybridMultilevel"/>
    <w:tmpl w:val="2452CBB4"/>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60603F"/>
    <w:multiLevelType w:val="hybridMultilevel"/>
    <w:tmpl w:val="139A510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915C02"/>
    <w:multiLevelType w:val="hybridMultilevel"/>
    <w:tmpl w:val="49EC4D6A"/>
    <w:lvl w:ilvl="0" w:tplc="1C265248">
      <w:start w:val="1"/>
      <w:numFmt w:val="bullet"/>
      <w:lvlText w:val="-"/>
      <w:lvlJc w:val="left"/>
      <w:pPr>
        <w:ind w:left="1069" w:hanging="360"/>
      </w:pPr>
      <w:rPr>
        <w:rFonts w:ascii="Arial" w:eastAsia="Times New Roman" w:hAnsi="Arial" w:cs="Aria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6DB12F7"/>
    <w:multiLevelType w:val="hybridMultilevel"/>
    <w:tmpl w:val="655CFA38"/>
    <w:lvl w:ilvl="0" w:tplc="5D4EDC2E">
      <w:start w:val="2"/>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D60EB3"/>
    <w:multiLevelType w:val="hybridMultilevel"/>
    <w:tmpl w:val="6B668376"/>
    <w:lvl w:ilvl="0" w:tplc="1C265248">
      <w:start w:val="1"/>
      <w:numFmt w:val="bullet"/>
      <w:lvlText w:val="-"/>
      <w:lvlJc w:val="left"/>
      <w:pPr>
        <w:ind w:left="1069" w:hanging="360"/>
      </w:pPr>
      <w:rPr>
        <w:rFonts w:ascii="Arial" w:eastAsia="Times New Roman" w:hAnsi="Arial" w:cs="Arial" w:hint="default"/>
      </w:rPr>
    </w:lvl>
    <w:lvl w:ilvl="1" w:tplc="080A0003">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805B0"/>
    <w:multiLevelType w:val="hybridMultilevel"/>
    <w:tmpl w:val="27EA9D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61130542">
    <w:abstractNumId w:val="28"/>
  </w:num>
  <w:num w:numId="2" w16cid:durableId="692878443">
    <w:abstractNumId w:val="2"/>
  </w:num>
  <w:num w:numId="3" w16cid:durableId="286282235">
    <w:abstractNumId w:val="16"/>
  </w:num>
  <w:num w:numId="4" w16cid:durableId="1256867420">
    <w:abstractNumId w:val="6"/>
  </w:num>
  <w:num w:numId="5" w16cid:durableId="1125390407">
    <w:abstractNumId w:val="4"/>
  </w:num>
  <w:num w:numId="6" w16cid:durableId="2054689393">
    <w:abstractNumId w:val="30"/>
  </w:num>
  <w:num w:numId="7" w16cid:durableId="537662601">
    <w:abstractNumId w:val="17"/>
  </w:num>
  <w:num w:numId="8" w16cid:durableId="699163714">
    <w:abstractNumId w:val="1"/>
  </w:num>
  <w:num w:numId="9" w16cid:durableId="1116212906">
    <w:abstractNumId w:val="32"/>
  </w:num>
  <w:num w:numId="10" w16cid:durableId="1127627790">
    <w:abstractNumId w:val="25"/>
  </w:num>
  <w:num w:numId="11" w16cid:durableId="1531796679">
    <w:abstractNumId w:val="15"/>
  </w:num>
  <w:num w:numId="12" w16cid:durableId="505436802">
    <w:abstractNumId w:val="5"/>
  </w:num>
  <w:num w:numId="13" w16cid:durableId="1668358586">
    <w:abstractNumId w:val="11"/>
  </w:num>
  <w:num w:numId="14" w16cid:durableId="631012122">
    <w:abstractNumId w:val="26"/>
  </w:num>
  <w:num w:numId="15" w16cid:durableId="1928994893">
    <w:abstractNumId w:val="27"/>
  </w:num>
  <w:num w:numId="16" w16cid:durableId="1599678568">
    <w:abstractNumId w:val="29"/>
  </w:num>
  <w:num w:numId="17" w16cid:durableId="1285648912">
    <w:abstractNumId w:val="14"/>
  </w:num>
  <w:num w:numId="18" w16cid:durableId="1693145264">
    <w:abstractNumId w:val="21"/>
  </w:num>
  <w:num w:numId="19" w16cid:durableId="984891760">
    <w:abstractNumId w:val="10"/>
  </w:num>
  <w:num w:numId="20" w16cid:durableId="1687559014">
    <w:abstractNumId w:val="22"/>
  </w:num>
  <w:num w:numId="21" w16cid:durableId="894895911">
    <w:abstractNumId w:val="12"/>
  </w:num>
  <w:num w:numId="22" w16cid:durableId="712460232">
    <w:abstractNumId w:val="31"/>
  </w:num>
  <w:num w:numId="23" w16cid:durableId="1623997691">
    <w:abstractNumId w:val="13"/>
  </w:num>
  <w:num w:numId="24" w16cid:durableId="674458944">
    <w:abstractNumId w:val="7"/>
  </w:num>
  <w:num w:numId="25" w16cid:durableId="841315666">
    <w:abstractNumId w:val="9"/>
  </w:num>
  <w:num w:numId="26" w16cid:durableId="2035038632">
    <w:abstractNumId w:val="8"/>
  </w:num>
  <w:num w:numId="27" w16cid:durableId="1322661915">
    <w:abstractNumId w:val="19"/>
  </w:num>
  <w:num w:numId="28" w16cid:durableId="1799183092">
    <w:abstractNumId w:val="0"/>
  </w:num>
  <w:num w:numId="29" w16cid:durableId="730349414">
    <w:abstractNumId w:val="3"/>
  </w:num>
  <w:num w:numId="30" w16cid:durableId="318777266">
    <w:abstractNumId w:val="23"/>
  </w:num>
  <w:num w:numId="31" w16cid:durableId="161892847">
    <w:abstractNumId w:val="18"/>
  </w:num>
  <w:num w:numId="32" w16cid:durableId="79522205">
    <w:abstractNumId w:val="20"/>
  </w:num>
  <w:num w:numId="33" w16cid:durableId="636564967">
    <w:abstractNumId w:val="24"/>
  </w:num>
  <w:num w:numId="34" w16cid:durableId="4100862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40F5E"/>
    <w:rsid w:val="000748A1"/>
    <w:rsid w:val="00080501"/>
    <w:rsid w:val="000848CD"/>
    <w:rsid w:val="00084EAE"/>
    <w:rsid w:val="00091CE6"/>
    <w:rsid w:val="000B7810"/>
    <w:rsid w:val="000C3365"/>
    <w:rsid w:val="00106EE9"/>
    <w:rsid w:val="0012405A"/>
    <w:rsid w:val="0012493A"/>
    <w:rsid w:val="00154BA3"/>
    <w:rsid w:val="001973A2"/>
    <w:rsid w:val="001A145C"/>
    <w:rsid w:val="001A399A"/>
    <w:rsid w:val="001B7EC4"/>
    <w:rsid w:val="001C34BC"/>
    <w:rsid w:val="001C710C"/>
    <w:rsid w:val="001C75F2"/>
    <w:rsid w:val="001D2063"/>
    <w:rsid w:val="001D43E9"/>
    <w:rsid w:val="001E6F4C"/>
    <w:rsid w:val="00231FBE"/>
    <w:rsid w:val="00232175"/>
    <w:rsid w:val="0024740E"/>
    <w:rsid w:val="002722DD"/>
    <w:rsid w:val="00294257"/>
    <w:rsid w:val="00295B72"/>
    <w:rsid w:val="00303268"/>
    <w:rsid w:val="003453CA"/>
    <w:rsid w:val="00396D53"/>
    <w:rsid w:val="003B21C9"/>
    <w:rsid w:val="003E6C64"/>
    <w:rsid w:val="0042320A"/>
    <w:rsid w:val="0043078C"/>
    <w:rsid w:val="00435A87"/>
    <w:rsid w:val="004A1077"/>
    <w:rsid w:val="004A58C8"/>
    <w:rsid w:val="004D0DC7"/>
    <w:rsid w:val="004F234D"/>
    <w:rsid w:val="004F6FAC"/>
    <w:rsid w:val="005053EE"/>
    <w:rsid w:val="00516100"/>
    <w:rsid w:val="00516A8F"/>
    <w:rsid w:val="00540261"/>
    <w:rsid w:val="0054701E"/>
    <w:rsid w:val="005B5531"/>
    <w:rsid w:val="005D3E43"/>
    <w:rsid w:val="005E231E"/>
    <w:rsid w:val="005F2900"/>
    <w:rsid w:val="005F51CC"/>
    <w:rsid w:val="00637D15"/>
    <w:rsid w:val="0064059E"/>
    <w:rsid w:val="00642FAC"/>
    <w:rsid w:val="00657009"/>
    <w:rsid w:val="006754BE"/>
    <w:rsid w:val="00681C79"/>
    <w:rsid w:val="006B1ADF"/>
    <w:rsid w:val="006D3968"/>
    <w:rsid w:val="006E7D59"/>
    <w:rsid w:val="006F0687"/>
    <w:rsid w:val="006F77A8"/>
    <w:rsid w:val="007610BC"/>
    <w:rsid w:val="007714AB"/>
    <w:rsid w:val="007D1E76"/>
    <w:rsid w:val="007D4484"/>
    <w:rsid w:val="007E38A2"/>
    <w:rsid w:val="007F35D0"/>
    <w:rsid w:val="007F699D"/>
    <w:rsid w:val="00806269"/>
    <w:rsid w:val="0086420E"/>
    <w:rsid w:val="0086459F"/>
    <w:rsid w:val="00877935"/>
    <w:rsid w:val="0088321E"/>
    <w:rsid w:val="008C3BB8"/>
    <w:rsid w:val="008E076C"/>
    <w:rsid w:val="0092765C"/>
    <w:rsid w:val="00946CBF"/>
    <w:rsid w:val="00967DDA"/>
    <w:rsid w:val="009736CB"/>
    <w:rsid w:val="0097385F"/>
    <w:rsid w:val="00A12186"/>
    <w:rsid w:val="00A4610E"/>
    <w:rsid w:val="00A6346D"/>
    <w:rsid w:val="00A730E0"/>
    <w:rsid w:val="00AA2768"/>
    <w:rsid w:val="00AA41E5"/>
    <w:rsid w:val="00AB722B"/>
    <w:rsid w:val="00AE1F6A"/>
    <w:rsid w:val="00AF4375"/>
    <w:rsid w:val="00B073DE"/>
    <w:rsid w:val="00B55C4E"/>
    <w:rsid w:val="00B6368B"/>
    <w:rsid w:val="00B955C0"/>
    <w:rsid w:val="00BA53FE"/>
    <w:rsid w:val="00BA7CE3"/>
    <w:rsid w:val="00BB5918"/>
    <w:rsid w:val="00BE02EB"/>
    <w:rsid w:val="00C1652B"/>
    <w:rsid w:val="00C4250B"/>
    <w:rsid w:val="00C4625D"/>
    <w:rsid w:val="00C54C12"/>
    <w:rsid w:val="00C8116C"/>
    <w:rsid w:val="00C93C67"/>
    <w:rsid w:val="00C97E1E"/>
    <w:rsid w:val="00CB41C4"/>
    <w:rsid w:val="00CF1316"/>
    <w:rsid w:val="00D13C44"/>
    <w:rsid w:val="00D32331"/>
    <w:rsid w:val="00D40FC2"/>
    <w:rsid w:val="00D5018E"/>
    <w:rsid w:val="00D546B2"/>
    <w:rsid w:val="00D975B1"/>
    <w:rsid w:val="00DD018C"/>
    <w:rsid w:val="00E00323"/>
    <w:rsid w:val="00E07B4B"/>
    <w:rsid w:val="00E11758"/>
    <w:rsid w:val="00E42413"/>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83594"/>
    <w:rsid w:val="00FC1AE8"/>
    <w:rsid w:val="00F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notapie">
    <w:name w:val="footnote text"/>
    <w:basedOn w:val="Normal"/>
    <w:link w:val="TextonotapieCar"/>
    <w:uiPriority w:val="99"/>
    <w:unhideWhenUsed/>
    <w:rsid w:val="00642FAC"/>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rsid w:val="00642FAC"/>
    <w:rPr>
      <w:rFonts w:ascii="Times New Roman" w:eastAsia="Times New Roman" w:hAnsi="Times New Roman"/>
      <w:lang w:val="es-ES" w:eastAsia="es-ES"/>
    </w:rPr>
  </w:style>
  <w:style w:type="character" w:styleId="Refdenotaalpie">
    <w:name w:val="footnote reference"/>
    <w:basedOn w:val="Fuentedeprrafopredeter"/>
    <w:uiPriority w:val="99"/>
    <w:unhideWhenUsed/>
    <w:rsid w:val="00642FAC"/>
    <w:rPr>
      <w:vertAlign w:val="superscript"/>
    </w:rPr>
  </w:style>
  <w:style w:type="paragraph" w:customStyle="1" w:styleId="Texto">
    <w:name w:val="Texto"/>
    <w:basedOn w:val="Normal"/>
    <w:link w:val="TextoCar"/>
    <w:uiPriority w:val="99"/>
    <w:qFormat/>
    <w:rsid w:val="00642FAC"/>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642FAC"/>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42FAC"/>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uiPriority w:val="99"/>
    <w:locked/>
    <w:rsid w:val="00642FAC"/>
    <w:rPr>
      <w:rFonts w:ascii="Arial" w:eastAsia="Times New Roman" w:hAnsi="Arial" w:cs="Arial"/>
      <w:sz w:val="18"/>
      <w:lang w:val="es-ES" w:eastAsia="es-ES"/>
    </w:rPr>
  </w:style>
  <w:style w:type="paragraph" w:styleId="Textoindependiente">
    <w:name w:val="Body Text"/>
    <w:basedOn w:val="Normal"/>
    <w:link w:val="TextoindependienteCar"/>
    <w:uiPriority w:val="99"/>
    <w:unhideWhenUsed/>
    <w:rsid w:val="00642FAC"/>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642FAC"/>
    <w:rPr>
      <w:rFonts w:ascii="Times New Roman" w:eastAsia="Times New Roman" w:hAnsi="Times New Roman"/>
      <w:sz w:val="24"/>
      <w:szCs w:val="24"/>
      <w:lang w:val="es-ES" w:eastAsia="es-ES"/>
    </w:rPr>
  </w:style>
  <w:style w:type="character" w:customStyle="1" w:styleId="PrrafodelistaCar">
    <w:name w:val="Párrafo de lista Car"/>
    <w:basedOn w:val="Fuentedeprrafopredeter"/>
    <w:link w:val="Prrafodelista"/>
    <w:uiPriority w:val="34"/>
    <w:locked/>
    <w:rsid w:val="00642FAC"/>
    <w:rPr>
      <w:sz w:val="22"/>
      <w:szCs w:val="22"/>
      <w:lang w:eastAsia="en-US"/>
    </w:rPr>
  </w:style>
  <w:style w:type="paragraph" w:customStyle="1" w:styleId="Default">
    <w:name w:val="Default"/>
    <w:rsid w:val="00642FAC"/>
    <w:pPr>
      <w:autoSpaceDE w:val="0"/>
      <w:autoSpaceDN w:val="0"/>
      <w:adjustRightInd w:val="0"/>
    </w:pPr>
    <w:rPr>
      <w:rFonts w:ascii="Arial" w:hAnsi="Arial" w:cs="Arial"/>
      <w:color w:val="000000"/>
      <w:sz w:val="24"/>
      <w:szCs w:val="24"/>
    </w:rPr>
  </w:style>
  <w:style w:type="character" w:customStyle="1" w:styleId="ROMANOSCar">
    <w:name w:val="ROMANOS Car"/>
    <w:link w:val="ROMANOS"/>
    <w:locked/>
    <w:rsid w:val="00642FAC"/>
    <w:rPr>
      <w:rFonts w:ascii="Arial" w:eastAsia="Times New Roman" w:hAnsi="Arial" w:cs="Arial"/>
      <w:sz w:val="18"/>
      <w:szCs w:val="18"/>
      <w:lang w:val="es-ES" w:eastAsia="es-ES"/>
    </w:rPr>
  </w:style>
  <w:style w:type="paragraph" w:styleId="TDC1">
    <w:name w:val="toc 1"/>
    <w:basedOn w:val="Normal"/>
    <w:next w:val="Normal"/>
    <w:autoRedefine/>
    <w:uiPriority w:val="39"/>
    <w:unhideWhenUsed/>
    <w:rsid w:val="00642FAC"/>
    <w:pPr>
      <w:spacing w:after="100"/>
    </w:pPr>
  </w:style>
  <w:style w:type="character" w:styleId="Refdecomentario">
    <w:name w:val="annotation reference"/>
    <w:basedOn w:val="Fuentedeprrafopredeter"/>
    <w:uiPriority w:val="99"/>
    <w:semiHidden/>
    <w:unhideWhenUsed/>
    <w:rsid w:val="00642FAC"/>
    <w:rPr>
      <w:sz w:val="16"/>
      <w:szCs w:val="16"/>
    </w:rPr>
  </w:style>
  <w:style w:type="paragraph" w:styleId="Textocomentario">
    <w:name w:val="annotation text"/>
    <w:basedOn w:val="Normal"/>
    <w:link w:val="TextocomentarioCar"/>
    <w:uiPriority w:val="99"/>
    <w:unhideWhenUsed/>
    <w:rsid w:val="00642FAC"/>
    <w:pPr>
      <w:spacing w:line="240" w:lineRule="auto"/>
    </w:pPr>
    <w:rPr>
      <w:sz w:val="20"/>
      <w:szCs w:val="20"/>
    </w:rPr>
  </w:style>
  <w:style w:type="character" w:customStyle="1" w:styleId="TextocomentarioCar">
    <w:name w:val="Texto comentario Car"/>
    <w:basedOn w:val="Fuentedeprrafopredeter"/>
    <w:link w:val="Textocomentario"/>
    <w:uiPriority w:val="99"/>
    <w:rsid w:val="00642FAC"/>
    <w:rPr>
      <w:lang w:eastAsia="en-US"/>
    </w:rPr>
  </w:style>
  <w:style w:type="paragraph" w:styleId="Asuntodelcomentario">
    <w:name w:val="annotation subject"/>
    <w:basedOn w:val="Textocomentario"/>
    <w:next w:val="Textocomentario"/>
    <w:link w:val="AsuntodelcomentarioCar"/>
    <w:uiPriority w:val="99"/>
    <w:semiHidden/>
    <w:unhideWhenUsed/>
    <w:rsid w:val="00642FAC"/>
    <w:rPr>
      <w:b/>
      <w:bCs/>
    </w:rPr>
  </w:style>
  <w:style w:type="character" w:customStyle="1" w:styleId="AsuntodelcomentarioCar">
    <w:name w:val="Asunto del comentario Car"/>
    <w:basedOn w:val="TextocomentarioCar"/>
    <w:link w:val="Asuntodelcomentario"/>
    <w:uiPriority w:val="99"/>
    <w:semiHidden/>
    <w:rsid w:val="00642FAC"/>
    <w:rPr>
      <w:b/>
      <w:bCs/>
      <w:lang w:eastAsia="en-US"/>
    </w:rPr>
  </w:style>
  <w:style w:type="character" w:styleId="Hipervnculovisitado">
    <w:name w:val="FollowedHyperlink"/>
    <w:basedOn w:val="Fuentedeprrafopredeter"/>
    <w:uiPriority w:val="99"/>
    <w:semiHidden/>
    <w:unhideWhenUsed/>
    <w:rsid w:val="00642FAC"/>
    <w:rPr>
      <w:color w:val="954F72" w:themeColor="followedHyperlink"/>
      <w:u w:val="single"/>
    </w:rPr>
  </w:style>
  <w:style w:type="paragraph" w:customStyle="1" w:styleId="TableParagraph">
    <w:name w:val="Table Paragraph"/>
    <w:basedOn w:val="Normal"/>
    <w:uiPriority w:val="1"/>
    <w:qFormat/>
    <w:rsid w:val="00642FAC"/>
    <w:pPr>
      <w:widowControl w:val="0"/>
      <w:autoSpaceDE w:val="0"/>
      <w:autoSpaceDN w:val="0"/>
      <w:spacing w:before="25" w:after="0" w:line="240" w:lineRule="auto"/>
      <w:ind w:left="33"/>
    </w:pPr>
    <w:rPr>
      <w:rFonts w:cs="Calibri"/>
      <w:lang w:val="es-ES"/>
    </w:rPr>
  </w:style>
  <w:style w:type="character" w:styleId="Mencinsinresolver">
    <w:name w:val="Unresolved Mention"/>
    <w:basedOn w:val="Fuentedeprrafopredeter"/>
    <w:uiPriority w:val="99"/>
    <w:semiHidden/>
    <w:unhideWhenUsed/>
    <w:rsid w:val="0064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D60AB46-6B3F-48D6-A600-4B92B6BA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9443</Words>
  <Characters>51938</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61259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2</cp:revision>
  <cp:lastPrinted>2026-02-19T15:52:00Z</cp:lastPrinted>
  <dcterms:created xsi:type="dcterms:W3CDTF">2026-02-27T19:01:00Z</dcterms:created>
  <dcterms:modified xsi:type="dcterms:W3CDTF">2026-02-27T19:01:00Z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